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F836C" w14:textId="560AD833" w:rsidR="0010682F" w:rsidRPr="004567E8" w:rsidRDefault="0010682F" w:rsidP="001E5A28">
      <w:pPr>
        <w:spacing w:after="0"/>
        <w:jc w:val="center"/>
        <w:rPr>
          <w:rFonts w:ascii="Book Antiqua" w:hAnsi="Book Antiqua"/>
          <w:b/>
          <w:sz w:val="24"/>
          <w:szCs w:val="24"/>
          <w:u w:val="single"/>
        </w:rPr>
      </w:pPr>
      <w:bookmarkStart w:id="0" w:name="_Hlk125993811"/>
      <w:r w:rsidRPr="004567E8">
        <w:rPr>
          <w:rFonts w:ascii="Book Antiqua" w:hAnsi="Book Antiqua"/>
          <w:b/>
          <w:sz w:val="24"/>
          <w:szCs w:val="24"/>
          <w:u w:val="single"/>
        </w:rPr>
        <w:t>ANNEXURE-I</w:t>
      </w:r>
    </w:p>
    <w:p w14:paraId="35FEB821" w14:textId="5D14604E" w:rsidR="00DD0DBB" w:rsidRPr="00296E3E" w:rsidRDefault="00DD0DBB" w:rsidP="004567E8">
      <w:pPr>
        <w:spacing w:after="0" w:line="240" w:lineRule="auto"/>
        <w:jc w:val="center"/>
        <w:rPr>
          <w:rFonts w:ascii="Book Antiqua" w:hAnsi="Book Antiqua"/>
          <w:b/>
          <w:sz w:val="24"/>
          <w:szCs w:val="24"/>
          <w:u w:val="single"/>
        </w:rPr>
      </w:pPr>
      <w:r w:rsidRPr="00296E3E">
        <w:rPr>
          <w:rFonts w:ascii="Book Antiqua" w:hAnsi="Book Antiqua"/>
          <w:b/>
          <w:sz w:val="24"/>
          <w:szCs w:val="24"/>
          <w:u w:val="single"/>
        </w:rPr>
        <w:t>True-Up filings for FY 2024-25 and Annual Tariff Petition for FY 2026-27</w:t>
      </w:r>
    </w:p>
    <w:p w14:paraId="07EAA7E1" w14:textId="77777777" w:rsidR="003E2BDB" w:rsidRDefault="00DD0DBB" w:rsidP="004567E8">
      <w:pPr>
        <w:spacing w:before="88" w:after="0" w:line="240" w:lineRule="auto"/>
        <w:ind w:left="4" w:right="142"/>
        <w:jc w:val="center"/>
        <w:rPr>
          <w:rFonts w:ascii="Book Antiqua" w:hAnsi="Book Antiqua"/>
          <w:b/>
          <w:sz w:val="24"/>
          <w:szCs w:val="24"/>
          <w:u w:val="single"/>
        </w:rPr>
      </w:pPr>
      <w:r w:rsidRPr="00296E3E">
        <w:rPr>
          <w:rFonts w:ascii="Book Antiqua" w:hAnsi="Book Antiqua"/>
          <w:b/>
          <w:sz w:val="24"/>
          <w:szCs w:val="24"/>
          <w:u w:val="single"/>
        </w:rPr>
        <w:t>Replies to submissions on Transmission Business</w:t>
      </w:r>
      <w:r w:rsidR="00F75918" w:rsidRPr="00296E3E">
        <w:rPr>
          <w:rFonts w:ascii="Book Antiqua" w:hAnsi="Book Antiqua"/>
          <w:b/>
          <w:sz w:val="24"/>
          <w:szCs w:val="24"/>
          <w:u w:val="single"/>
        </w:rPr>
        <w:t xml:space="preserve"> O.P </w:t>
      </w:r>
      <w:r w:rsidR="00102418" w:rsidRPr="00296E3E">
        <w:rPr>
          <w:rFonts w:ascii="Book Antiqua" w:hAnsi="Book Antiqua"/>
          <w:b/>
          <w:sz w:val="24"/>
          <w:szCs w:val="24"/>
          <w:u w:val="single"/>
        </w:rPr>
        <w:t>n</w:t>
      </w:r>
      <w:r w:rsidR="00F75918" w:rsidRPr="00296E3E">
        <w:rPr>
          <w:rFonts w:ascii="Book Antiqua" w:hAnsi="Book Antiqua"/>
          <w:b/>
          <w:sz w:val="24"/>
          <w:szCs w:val="24"/>
          <w:u w:val="single"/>
        </w:rPr>
        <w:t>o.68 of 2025</w:t>
      </w:r>
      <w:r w:rsidRPr="00296E3E">
        <w:rPr>
          <w:rFonts w:ascii="Book Antiqua" w:hAnsi="Book Antiqua"/>
          <w:b/>
          <w:sz w:val="24"/>
          <w:szCs w:val="24"/>
          <w:u w:val="single"/>
        </w:rPr>
        <w:t xml:space="preserve"> by </w:t>
      </w:r>
      <w:r w:rsidR="00296E3E" w:rsidRPr="00296E3E">
        <w:rPr>
          <w:rFonts w:ascii="Book Antiqua" w:hAnsi="Book Antiqua"/>
          <w:b/>
          <w:sz w:val="24"/>
          <w:szCs w:val="24"/>
          <w:u w:val="single"/>
        </w:rPr>
        <w:t>Southern Power Distribution Company of Telangana Limited</w:t>
      </w:r>
    </w:p>
    <w:p w14:paraId="503706B4" w14:textId="77777777" w:rsidR="004836CC" w:rsidRPr="004836CC" w:rsidRDefault="004836CC" w:rsidP="003E2BDB">
      <w:pPr>
        <w:spacing w:before="88" w:after="0"/>
        <w:ind w:left="4" w:right="142"/>
        <w:jc w:val="center"/>
        <w:rPr>
          <w:rFonts w:ascii="Book Antiqua" w:hAnsi="Book Antiqua"/>
          <w:b/>
          <w:sz w:val="14"/>
          <w:szCs w:val="24"/>
          <w:u w:val="single"/>
        </w:rPr>
      </w:pP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371"/>
        <w:gridCol w:w="7132"/>
      </w:tblGrid>
      <w:tr w:rsidR="003200DD" w:rsidRPr="00296E3E" w14:paraId="758F6D4A" w14:textId="77777777" w:rsidTr="00E11661">
        <w:trPr>
          <w:tblHeader/>
          <w:jc w:val="center"/>
        </w:trPr>
        <w:tc>
          <w:tcPr>
            <w:tcW w:w="816" w:type="dxa"/>
            <w:vAlign w:val="center"/>
          </w:tcPr>
          <w:bookmarkEnd w:id="0"/>
          <w:p w14:paraId="6A09086C" w14:textId="0780DF37" w:rsidR="00FA2AD8" w:rsidRPr="00296E3E" w:rsidRDefault="00FA2AD8" w:rsidP="00D27582">
            <w:pPr>
              <w:spacing w:after="0" w:line="240" w:lineRule="auto"/>
              <w:jc w:val="center"/>
              <w:rPr>
                <w:rFonts w:ascii="Book Antiqua" w:eastAsia="Times New Roman" w:hAnsi="Book Antiqua"/>
                <w:b/>
                <w:color w:val="000000" w:themeColor="text1"/>
                <w:sz w:val="24"/>
                <w:szCs w:val="24"/>
              </w:rPr>
            </w:pPr>
            <w:r w:rsidRPr="00296E3E">
              <w:rPr>
                <w:rFonts w:ascii="Book Antiqua" w:eastAsia="Times New Roman" w:hAnsi="Book Antiqua"/>
                <w:b/>
                <w:color w:val="000000" w:themeColor="text1"/>
                <w:sz w:val="24"/>
                <w:szCs w:val="24"/>
              </w:rPr>
              <w:t>S</w:t>
            </w:r>
            <w:r w:rsidR="0090384C">
              <w:rPr>
                <w:rFonts w:ascii="Book Antiqua" w:eastAsia="Times New Roman" w:hAnsi="Book Antiqua"/>
                <w:b/>
                <w:color w:val="000000" w:themeColor="text1"/>
                <w:sz w:val="24"/>
                <w:szCs w:val="24"/>
              </w:rPr>
              <w:t>I</w:t>
            </w:r>
            <w:r w:rsidRPr="00296E3E">
              <w:rPr>
                <w:rFonts w:ascii="Book Antiqua" w:eastAsia="Times New Roman" w:hAnsi="Book Antiqua"/>
                <w:b/>
                <w:color w:val="000000" w:themeColor="text1"/>
                <w:sz w:val="24"/>
                <w:szCs w:val="24"/>
              </w:rPr>
              <w:t>.</w:t>
            </w:r>
            <w:r w:rsidR="0090384C">
              <w:rPr>
                <w:rFonts w:ascii="Book Antiqua" w:eastAsia="Times New Roman" w:hAnsi="Book Antiqua"/>
                <w:b/>
                <w:color w:val="000000" w:themeColor="text1"/>
                <w:sz w:val="24"/>
                <w:szCs w:val="24"/>
              </w:rPr>
              <w:t xml:space="preserve"> </w:t>
            </w:r>
            <w:r w:rsidRPr="00296E3E">
              <w:rPr>
                <w:rFonts w:ascii="Book Antiqua" w:eastAsia="Times New Roman" w:hAnsi="Book Antiqua"/>
                <w:b/>
                <w:color w:val="000000" w:themeColor="text1"/>
                <w:sz w:val="24"/>
                <w:szCs w:val="24"/>
              </w:rPr>
              <w:t>No</w:t>
            </w:r>
          </w:p>
        </w:tc>
        <w:tc>
          <w:tcPr>
            <w:tcW w:w="7371" w:type="dxa"/>
            <w:vAlign w:val="center"/>
          </w:tcPr>
          <w:p w14:paraId="7794F9B0" w14:textId="4FD19708" w:rsidR="00FA2AD8" w:rsidRPr="00296E3E" w:rsidRDefault="00FA2AD8" w:rsidP="004567E8">
            <w:pPr>
              <w:spacing w:after="0" w:line="240" w:lineRule="auto"/>
              <w:jc w:val="center"/>
              <w:rPr>
                <w:rFonts w:ascii="Book Antiqua" w:eastAsia="Times New Roman" w:hAnsi="Book Antiqua"/>
                <w:b/>
                <w:color w:val="000000" w:themeColor="text1"/>
                <w:sz w:val="24"/>
                <w:szCs w:val="24"/>
              </w:rPr>
            </w:pPr>
            <w:r w:rsidRPr="00296E3E">
              <w:rPr>
                <w:rFonts w:ascii="Book Antiqua" w:eastAsia="Times New Roman" w:hAnsi="Book Antiqua"/>
                <w:b/>
                <w:color w:val="000000" w:themeColor="text1"/>
                <w:sz w:val="24"/>
                <w:szCs w:val="24"/>
              </w:rPr>
              <w:t>Objections</w:t>
            </w:r>
          </w:p>
        </w:tc>
        <w:tc>
          <w:tcPr>
            <w:tcW w:w="7132" w:type="dxa"/>
            <w:vAlign w:val="center"/>
          </w:tcPr>
          <w:p w14:paraId="293BC8B4" w14:textId="369C00B3" w:rsidR="00FA2AD8" w:rsidRPr="00296E3E" w:rsidRDefault="003200DD" w:rsidP="0090384C">
            <w:pPr>
              <w:spacing w:after="0" w:line="240" w:lineRule="auto"/>
              <w:jc w:val="center"/>
              <w:rPr>
                <w:rFonts w:ascii="Book Antiqua" w:eastAsia="Times New Roman" w:hAnsi="Book Antiqua"/>
                <w:b/>
                <w:color w:val="000000" w:themeColor="text1"/>
                <w:sz w:val="24"/>
                <w:szCs w:val="24"/>
              </w:rPr>
            </w:pPr>
            <w:r w:rsidRPr="00296E3E">
              <w:rPr>
                <w:rFonts w:ascii="Book Antiqua" w:eastAsia="Times New Roman" w:hAnsi="Book Antiqua"/>
                <w:b/>
                <w:color w:val="000000" w:themeColor="text1"/>
                <w:sz w:val="24"/>
                <w:szCs w:val="24"/>
              </w:rPr>
              <w:t>Reply</w:t>
            </w:r>
          </w:p>
        </w:tc>
      </w:tr>
      <w:tr w:rsidR="003200DD" w:rsidRPr="00296E3E" w14:paraId="136EF810" w14:textId="77777777" w:rsidTr="00D20641">
        <w:trPr>
          <w:jc w:val="center"/>
        </w:trPr>
        <w:tc>
          <w:tcPr>
            <w:tcW w:w="816" w:type="dxa"/>
            <w:vAlign w:val="center"/>
          </w:tcPr>
          <w:p w14:paraId="1A60B02A" w14:textId="77777777" w:rsidR="00972C09" w:rsidRPr="00296E3E" w:rsidRDefault="00DD0DBB" w:rsidP="00D27582">
            <w:pPr>
              <w:spacing w:after="0" w:line="240" w:lineRule="auto"/>
              <w:jc w:val="center"/>
              <w:rPr>
                <w:rFonts w:ascii="Book Antiqua" w:hAnsi="Book Antiqua"/>
                <w:color w:val="000000" w:themeColor="text1"/>
                <w:sz w:val="24"/>
                <w:szCs w:val="24"/>
              </w:rPr>
            </w:pPr>
            <w:r w:rsidRPr="00296E3E">
              <w:rPr>
                <w:rFonts w:ascii="Book Antiqua" w:hAnsi="Book Antiqua"/>
                <w:color w:val="000000" w:themeColor="text1"/>
                <w:sz w:val="24"/>
                <w:szCs w:val="24"/>
              </w:rPr>
              <w:t>1</w:t>
            </w:r>
          </w:p>
        </w:tc>
        <w:tc>
          <w:tcPr>
            <w:tcW w:w="7371" w:type="dxa"/>
            <w:shd w:val="clear" w:color="auto" w:fill="auto"/>
            <w:vAlign w:val="center"/>
          </w:tcPr>
          <w:p w14:paraId="0A52ED8A" w14:textId="77777777" w:rsidR="00296E3E" w:rsidRPr="00296E3E" w:rsidRDefault="00296E3E" w:rsidP="004567E8">
            <w:pPr>
              <w:pStyle w:val="TableParagraph"/>
              <w:ind w:right="99"/>
              <w:rPr>
                <w:rFonts w:ascii="Book Antiqua" w:eastAsia="Calibri" w:hAnsi="Book Antiqua" w:cs="Times New Roman"/>
                <w:sz w:val="24"/>
                <w:szCs w:val="24"/>
              </w:rPr>
            </w:pPr>
            <w:r w:rsidRPr="00296E3E">
              <w:rPr>
                <w:rFonts w:ascii="Book Antiqua" w:eastAsia="Calibri" w:hAnsi="Book Antiqua" w:cs="Times New Roman"/>
                <w:sz w:val="24"/>
                <w:szCs w:val="24"/>
              </w:rPr>
              <w:t>Projected Transmission Losses (in %) for the FY 2025-26 &amp; FY 2026-27</w:t>
            </w:r>
          </w:p>
          <w:p w14:paraId="2A6F760A" w14:textId="77777777" w:rsidR="00296E3E" w:rsidRPr="00296E3E" w:rsidRDefault="00296E3E" w:rsidP="00296E3E">
            <w:pPr>
              <w:pStyle w:val="TableParagraph"/>
              <w:ind w:right="89"/>
              <w:jc w:val="both"/>
              <w:rPr>
                <w:rFonts w:ascii="Book Antiqua" w:eastAsia="Calibri" w:hAnsi="Book Antiqua" w:cs="Times New Roman"/>
                <w:sz w:val="24"/>
                <w:szCs w:val="24"/>
              </w:rPr>
            </w:pPr>
          </w:p>
          <w:p w14:paraId="11102C3C" w14:textId="77777777" w:rsidR="00844C98" w:rsidRPr="00296E3E" w:rsidRDefault="00296E3E" w:rsidP="00296E3E">
            <w:pPr>
              <w:pStyle w:val="TableParagraph"/>
              <w:spacing w:line="276" w:lineRule="auto"/>
              <w:ind w:right="89"/>
              <w:jc w:val="both"/>
              <w:rPr>
                <w:rFonts w:ascii="Book Antiqua" w:eastAsia="Calibri" w:hAnsi="Book Antiqua" w:cs="Times New Roman"/>
                <w:sz w:val="24"/>
                <w:szCs w:val="24"/>
              </w:rPr>
            </w:pPr>
            <w:r w:rsidRPr="00296E3E">
              <w:rPr>
                <w:rFonts w:ascii="Book Antiqua" w:eastAsia="Calibri" w:hAnsi="Book Antiqua" w:cs="Times New Roman"/>
                <w:sz w:val="24"/>
                <w:szCs w:val="24"/>
              </w:rPr>
              <w:t>TGTRANSCO’s projection of transmission losses at 2.46% for FY 2025</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26 and 2.44% for FY 2026</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27 as approved in 5th Control Period MYT Order dt:28.10.2024 represents an unjustified upward deviation from the audited actual transmission losses of 2.30% (FY 2023</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24) and 2.19% (FY 2024</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25), as disclosed in the petition (p.10 &amp; p.12). Such projections run contrary to the consistent downward trajectory observed in the past two years and lack any technical justification in the filings. Under TGERC MYT Regulation 12.1(b), variation in transmission losses is a controllable item, and Reg. 20.5(a) requires licensees to make realistic, prudence - compliant projections. Therefore, DISCOMs submits  that  the  Commission  may  adopt loss projections aligned with recent audited performance.</w:t>
            </w:r>
          </w:p>
        </w:tc>
        <w:tc>
          <w:tcPr>
            <w:tcW w:w="7132" w:type="dxa"/>
          </w:tcPr>
          <w:p w14:paraId="347DC207" w14:textId="77777777" w:rsidR="00593DA5" w:rsidRPr="00296E3E" w:rsidRDefault="00593DA5"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57896447" w14:textId="77777777" w:rsidR="00593DA5" w:rsidRPr="00296E3E" w:rsidRDefault="00593DA5"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7CC50558" w14:textId="77777777" w:rsidR="00A54E6F" w:rsidRPr="00FE1972" w:rsidRDefault="00A54E6F" w:rsidP="00A54E6F">
            <w:pPr>
              <w:spacing w:line="16" w:lineRule="atLeast"/>
              <w:jc w:val="both"/>
              <w:rPr>
                <w:rFonts w:ascii="Book Antiqua" w:hAnsi="Book Antiqua"/>
                <w:sz w:val="24"/>
                <w:szCs w:val="24"/>
              </w:rPr>
            </w:pPr>
            <w:r w:rsidRPr="00FE1972">
              <w:rPr>
                <w:rFonts w:ascii="Book Antiqua" w:hAnsi="Book Antiqua"/>
                <w:sz w:val="24"/>
                <w:szCs w:val="24"/>
              </w:rPr>
              <w:t>The transmission losses depend on the distance of generation plants from loads. Solar plants, Lift Irrigation Loads &amp; Agricultural pump sets inject reactive power into the system leading to higher transmission losses. So, Losses can decrease or even increase based on generation type (proximity to loads) and reactive power injection (solar plants &amp; irrigation loads).</w:t>
            </w:r>
          </w:p>
          <w:p w14:paraId="2D6AF748" w14:textId="77777777" w:rsidR="00A54E6F" w:rsidRPr="004031D4" w:rsidRDefault="00A54E6F" w:rsidP="00A54E6F">
            <w:pPr>
              <w:spacing w:line="16" w:lineRule="atLeast"/>
              <w:jc w:val="both"/>
              <w:rPr>
                <w:rFonts w:ascii="Book Antiqua" w:hAnsi="Book Antiqua"/>
                <w:sz w:val="2"/>
                <w:szCs w:val="24"/>
              </w:rPr>
            </w:pPr>
          </w:p>
          <w:p w14:paraId="36451622" w14:textId="7B9D57CD" w:rsidR="00593DA5" w:rsidRPr="00296E3E" w:rsidRDefault="00A54E6F" w:rsidP="00A54E6F">
            <w:pPr>
              <w:overflowPunct w:val="0"/>
              <w:autoSpaceDE w:val="0"/>
              <w:autoSpaceDN w:val="0"/>
              <w:adjustRightInd w:val="0"/>
              <w:spacing w:after="0" w:line="240" w:lineRule="auto"/>
              <w:jc w:val="both"/>
              <w:rPr>
                <w:rFonts w:ascii="Book Antiqua" w:hAnsi="Book Antiqua"/>
                <w:color w:val="000000" w:themeColor="text1"/>
                <w:sz w:val="24"/>
                <w:szCs w:val="24"/>
              </w:rPr>
            </w:pPr>
            <w:r w:rsidRPr="00FE1972">
              <w:rPr>
                <w:rFonts w:ascii="Book Antiqua" w:hAnsi="Book Antiqua"/>
                <w:b/>
                <w:sz w:val="24"/>
                <w:szCs w:val="24"/>
              </w:rPr>
              <w:t>However, TGTransco will always endeavor to bring down the transmission losses.</w:t>
            </w:r>
          </w:p>
        </w:tc>
      </w:tr>
      <w:tr w:rsidR="00DD0DBB" w:rsidRPr="00296E3E" w14:paraId="136CC0D9" w14:textId="77777777" w:rsidTr="00DA6E89">
        <w:trPr>
          <w:jc w:val="center"/>
        </w:trPr>
        <w:tc>
          <w:tcPr>
            <w:tcW w:w="816" w:type="dxa"/>
            <w:vAlign w:val="center"/>
          </w:tcPr>
          <w:p w14:paraId="232F2BE5" w14:textId="77777777" w:rsidR="00DD0DBB" w:rsidRPr="00296E3E" w:rsidRDefault="00296E3E" w:rsidP="00D27582">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2</w:t>
            </w:r>
          </w:p>
        </w:tc>
        <w:tc>
          <w:tcPr>
            <w:tcW w:w="7371" w:type="dxa"/>
            <w:shd w:val="clear" w:color="auto" w:fill="auto"/>
          </w:tcPr>
          <w:p w14:paraId="63B3BEDD" w14:textId="4DE16F04" w:rsidR="00DD0DBB" w:rsidRPr="00296E3E" w:rsidRDefault="007B3AF0" w:rsidP="00DA6E89">
            <w:pPr>
              <w:pStyle w:val="Heading1"/>
              <w:keepNext w:val="0"/>
              <w:keepLines w:val="0"/>
              <w:widowControl w:val="0"/>
              <w:tabs>
                <w:tab w:val="left" w:pos="294"/>
              </w:tabs>
              <w:autoSpaceDE w:val="0"/>
              <w:autoSpaceDN w:val="0"/>
              <w:spacing w:before="155"/>
              <w:rPr>
                <w:rFonts w:ascii="Book Antiqua" w:hAnsi="Book Antiqua"/>
                <w:sz w:val="24"/>
                <w:szCs w:val="24"/>
              </w:rPr>
            </w:pPr>
            <w:r>
              <w:rPr>
                <w:rFonts w:ascii="Book Antiqua" w:hAnsi="Book Antiqua"/>
                <w:spacing w:val="-2"/>
                <w:sz w:val="24"/>
                <w:szCs w:val="24"/>
              </w:rPr>
              <w:t xml:space="preserve">  </w:t>
            </w:r>
            <w:r w:rsidR="00DD0DBB" w:rsidRPr="00296E3E">
              <w:rPr>
                <w:rFonts w:ascii="Book Antiqua" w:hAnsi="Book Antiqua"/>
                <w:spacing w:val="-2"/>
                <w:sz w:val="24"/>
                <w:szCs w:val="24"/>
              </w:rPr>
              <w:t>Advance</w:t>
            </w:r>
            <w:r w:rsidR="00DD0DBB" w:rsidRPr="00296E3E">
              <w:rPr>
                <w:rFonts w:ascii="Book Antiqua" w:hAnsi="Book Antiqua"/>
                <w:spacing w:val="-12"/>
                <w:sz w:val="24"/>
                <w:szCs w:val="24"/>
              </w:rPr>
              <w:t xml:space="preserve"> </w:t>
            </w:r>
            <w:r w:rsidR="00DD0DBB" w:rsidRPr="00296E3E">
              <w:rPr>
                <w:rFonts w:ascii="Book Antiqua" w:hAnsi="Book Antiqua"/>
                <w:spacing w:val="-2"/>
                <w:sz w:val="24"/>
                <w:szCs w:val="24"/>
              </w:rPr>
              <w:t>Against</w:t>
            </w:r>
            <w:r w:rsidR="00DD0DBB" w:rsidRPr="00296E3E">
              <w:rPr>
                <w:rFonts w:ascii="Book Antiqua" w:hAnsi="Book Antiqua"/>
                <w:spacing w:val="-13"/>
                <w:sz w:val="24"/>
                <w:szCs w:val="24"/>
              </w:rPr>
              <w:t xml:space="preserve"> </w:t>
            </w:r>
            <w:r w:rsidR="00DD0DBB" w:rsidRPr="00296E3E">
              <w:rPr>
                <w:rFonts w:ascii="Book Antiqua" w:hAnsi="Book Antiqua"/>
                <w:spacing w:val="-2"/>
                <w:sz w:val="24"/>
                <w:szCs w:val="24"/>
              </w:rPr>
              <w:t>Depreciation</w:t>
            </w:r>
          </w:p>
          <w:p w14:paraId="01AE19DA" w14:textId="77777777" w:rsidR="00296E3E" w:rsidRPr="00296E3E" w:rsidRDefault="00296E3E" w:rsidP="00296E3E">
            <w:pPr>
              <w:pStyle w:val="TableParagraph"/>
              <w:ind w:right="89"/>
              <w:jc w:val="both"/>
              <w:rPr>
                <w:rFonts w:ascii="Book Antiqua" w:eastAsia="Calibri" w:hAnsi="Book Antiqua" w:cs="Times New Roman"/>
                <w:sz w:val="24"/>
                <w:szCs w:val="24"/>
              </w:rPr>
            </w:pPr>
            <w:r w:rsidRPr="00296E3E">
              <w:rPr>
                <w:rFonts w:ascii="Book Antiqua" w:eastAsia="Calibri" w:hAnsi="Book Antiqua" w:cs="Times New Roman"/>
                <w:sz w:val="24"/>
                <w:szCs w:val="24"/>
              </w:rPr>
              <w:t>TGTRANSCO seeks approval of Advance Against Depreciation (AAD) on the grounds that depreciation allowed under TGERC MYT Regulation 2 of 2023 is not adequate to meet loan repayment obligations. However, Regulation 28.5 explicitly provides that “depreciation</w:t>
            </w:r>
            <w:r w:rsidRPr="00296E3E">
              <w:rPr>
                <w:rFonts w:ascii="Book Antiqua" w:hAnsi="Book Antiqua"/>
                <w:w w:val="110"/>
                <w:sz w:val="24"/>
                <w:szCs w:val="24"/>
              </w:rPr>
              <w:t xml:space="preserve"> </w:t>
            </w:r>
            <w:r w:rsidRPr="00296E3E">
              <w:rPr>
                <w:rFonts w:ascii="Book Antiqua" w:eastAsia="Calibri" w:hAnsi="Book Antiqua" w:cs="Times New Roman"/>
                <w:sz w:val="24"/>
                <w:szCs w:val="24"/>
              </w:rPr>
              <w:t xml:space="preserve">allowed for each year shall be deemed equal to the </w:t>
            </w:r>
            <w:r w:rsidRPr="00296E3E">
              <w:rPr>
                <w:rFonts w:ascii="Book Antiqua" w:eastAsia="Calibri" w:hAnsi="Book Antiqua" w:cs="Times New Roman"/>
                <w:sz w:val="24"/>
                <w:szCs w:val="24"/>
              </w:rPr>
              <w:lastRenderedPageBreak/>
              <w:t>loan repayment up to 75% of asset cost or actual debt component.” This deeming provision already ensures full loan</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 xml:space="preserve">repayment alignment within the depreciation framework and eliminates the need for a separate AAD mechanism. Introducing AAD despite this clause would burden the licensees resulting in tariff hike to the consumers. Therefore, DISCOMs submit that, TGTRANSCO should instead compute depreciation strictly as per Reg.28.5, supported by complete loan-repayment schedules and asset </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 xml:space="preserve"> funding ratios. And also the Hon’ble Commission is  requested  to  deny  the  Advance</w:t>
            </w:r>
          </w:p>
          <w:p w14:paraId="0F227373" w14:textId="77777777" w:rsidR="00DD0DBB" w:rsidRPr="00296E3E" w:rsidRDefault="00296E3E" w:rsidP="00296E3E">
            <w:pPr>
              <w:pStyle w:val="BodyText"/>
              <w:spacing w:line="268" w:lineRule="auto"/>
              <w:ind w:right="161"/>
              <w:jc w:val="both"/>
              <w:rPr>
                <w:rFonts w:ascii="Book Antiqua" w:hAnsi="Book Antiqua"/>
                <w:sz w:val="24"/>
                <w:szCs w:val="24"/>
              </w:rPr>
            </w:pPr>
            <w:r w:rsidRPr="00296E3E">
              <w:rPr>
                <w:rFonts w:ascii="Book Antiqua" w:hAnsi="Book Antiqua"/>
                <w:sz w:val="24"/>
                <w:szCs w:val="24"/>
              </w:rPr>
              <w:t>Against Depreciation.</w:t>
            </w:r>
          </w:p>
        </w:tc>
        <w:tc>
          <w:tcPr>
            <w:tcW w:w="7132" w:type="dxa"/>
          </w:tcPr>
          <w:p w14:paraId="37B3BF8C" w14:textId="77777777" w:rsidR="003E2BDB" w:rsidRPr="00296E3E" w:rsidRDefault="00DD0DBB" w:rsidP="00EC72D3">
            <w:pPr>
              <w:pStyle w:val="BodyText"/>
              <w:numPr>
                <w:ilvl w:val="0"/>
                <w:numId w:val="11"/>
              </w:numPr>
              <w:spacing w:before="202" w:line="271" w:lineRule="auto"/>
              <w:ind w:left="356" w:right="159" w:hanging="356"/>
              <w:jc w:val="both"/>
              <w:rPr>
                <w:rFonts w:ascii="Book Antiqua" w:hAnsi="Book Antiqua"/>
                <w:sz w:val="24"/>
                <w:szCs w:val="24"/>
              </w:rPr>
            </w:pPr>
            <w:r w:rsidRPr="00296E3E">
              <w:rPr>
                <w:rFonts w:ascii="Book Antiqua" w:hAnsi="Book Antiqua"/>
                <w:sz w:val="24"/>
                <w:szCs w:val="24"/>
              </w:rPr>
              <w:lastRenderedPageBreak/>
              <w:t xml:space="preserve">The Company </w:t>
            </w:r>
            <w:r w:rsidR="003E2BDB" w:rsidRPr="00296E3E">
              <w:rPr>
                <w:rFonts w:ascii="Book Antiqua" w:hAnsi="Book Antiqua"/>
                <w:sz w:val="24"/>
                <w:szCs w:val="24"/>
              </w:rPr>
              <w:t xml:space="preserve">was </w:t>
            </w:r>
            <w:r w:rsidRPr="00296E3E">
              <w:rPr>
                <w:rFonts w:ascii="Book Antiqua" w:hAnsi="Book Antiqua"/>
                <w:sz w:val="24"/>
                <w:szCs w:val="24"/>
              </w:rPr>
              <w:t>following the Depreciation rates as per the CERC regulations on straight line basis till the FY 2023-24</w:t>
            </w:r>
            <w:r w:rsidR="00DD0822" w:rsidRPr="00296E3E">
              <w:rPr>
                <w:rFonts w:ascii="Book Antiqua" w:hAnsi="Book Antiqua"/>
                <w:sz w:val="24"/>
                <w:szCs w:val="24"/>
              </w:rPr>
              <w:t>.</w:t>
            </w:r>
            <w:r w:rsidRPr="00296E3E">
              <w:rPr>
                <w:rFonts w:ascii="Book Antiqua" w:hAnsi="Book Antiqua"/>
                <w:sz w:val="24"/>
                <w:szCs w:val="24"/>
              </w:rPr>
              <w:t xml:space="preserve"> </w:t>
            </w:r>
            <w:r w:rsidR="00DD0822" w:rsidRPr="00296E3E">
              <w:rPr>
                <w:rFonts w:ascii="Book Antiqua" w:hAnsi="Book Antiqua"/>
                <w:sz w:val="24"/>
                <w:szCs w:val="24"/>
              </w:rPr>
              <w:t xml:space="preserve">These regulations provides specified rates of </w:t>
            </w:r>
            <w:r w:rsidRPr="00296E3E">
              <w:rPr>
                <w:rFonts w:ascii="Book Antiqua" w:hAnsi="Book Antiqua"/>
                <w:sz w:val="24"/>
                <w:szCs w:val="24"/>
              </w:rPr>
              <w:t xml:space="preserve">depreciation </w:t>
            </w:r>
            <w:r w:rsidR="00DD0822" w:rsidRPr="00296E3E">
              <w:rPr>
                <w:rFonts w:ascii="Book Antiqua" w:hAnsi="Book Antiqua"/>
                <w:sz w:val="24"/>
                <w:szCs w:val="24"/>
              </w:rPr>
              <w:t xml:space="preserve">up to </w:t>
            </w:r>
            <w:r w:rsidRPr="00296E3E">
              <w:rPr>
                <w:rFonts w:ascii="Book Antiqua" w:hAnsi="Book Antiqua"/>
                <w:sz w:val="24"/>
                <w:szCs w:val="24"/>
              </w:rPr>
              <w:t>first 12</w:t>
            </w:r>
            <w:r w:rsidR="00DD0822" w:rsidRPr="00296E3E">
              <w:rPr>
                <w:rFonts w:ascii="Book Antiqua" w:hAnsi="Book Antiqua"/>
                <w:sz w:val="24"/>
                <w:szCs w:val="24"/>
              </w:rPr>
              <w:t xml:space="preserve"> </w:t>
            </w:r>
            <w:r w:rsidRPr="00296E3E">
              <w:rPr>
                <w:rFonts w:ascii="Book Antiqua" w:hAnsi="Book Antiqua"/>
                <w:sz w:val="24"/>
                <w:szCs w:val="24"/>
              </w:rPr>
              <w:t xml:space="preserve">years </w:t>
            </w:r>
            <w:r w:rsidR="00DD0822" w:rsidRPr="00296E3E">
              <w:rPr>
                <w:rFonts w:ascii="Book Antiqua" w:hAnsi="Book Antiqua"/>
                <w:sz w:val="24"/>
                <w:szCs w:val="24"/>
              </w:rPr>
              <w:t xml:space="preserve">period </w:t>
            </w:r>
            <w:r w:rsidR="00575F19" w:rsidRPr="00296E3E">
              <w:rPr>
                <w:rFonts w:ascii="Book Antiqua" w:hAnsi="Book Antiqua"/>
                <w:sz w:val="24"/>
                <w:szCs w:val="24"/>
              </w:rPr>
              <w:t xml:space="preserve">ensuring the </w:t>
            </w:r>
            <w:r w:rsidR="00D24C47" w:rsidRPr="00296E3E">
              <w:rPr>
                <w:rFonts w:ascii="Book Antiqua" w:hAnsi="Book Antiqua"/>
                <w:sz w:val="24"/>
                <w:szCs w:val="24"/>
              </w:rPr>
              <w:t>licensee</w:t>
            </w:r>
            <w:r w:rsidR="00575F19" w:rsidRPr="00296E3E">
              <w:rPr>
                <w:rFonts w:ascii="Book Antiqua" w:hAnsi="Book Antiqua"/>
                <w:sz w:val="24"/>
                <w:szCs w:val="24"/>
              </w:rPr>
              <w:t xml:space="preserve"> to recover sufficient depreciation </w:t>
            </w:r>
            <w:r w:rsidR="00D24C47" w:rsidRPr="00296E3E">
              <w:rPr>
                <w:rFonts w:ascii="Book Antiqua" w:hAnsi="Book Antiqua"/>
                <w:sz w:val="24"/>
                <w:szCs w:val="24"/>
              </w:rPr>
              <w:t>amount</w:t>
            </w:r>
            <w:r w:rsidR="00575F19" w:rsidRPr="00296E3E">
              <w:rPr>
                <w:rFonts w:ascii="Book Antiqua" w:hAnsi="Book Antiqua"/>
                <w:sz w:val="24"/>
                <w:szCs w:val="24"/>
              </w:rPr>
              <w:t xml:space="preserve"> to </w:t>
            </w:r>
            <w:r w:rsidR="003E2BDB" w:rsidRPr="00296E3E">
              <w:rPr>
                <w:rFonts w:ascii="Book Antiqua" w:hAnsi="Book Antiqua"/>
                <w:sz w:val="24"/>
                <w:szCs w:val="24"/>
              </w:rPr>
              <w:t xml:space="preserve">meet the </w:t>
            </w:r>
            <w:r w:rsidR="00575F19" w:rsidRPr="00296E3E">
              <w:rPr>
                <w:rFonts w:ascii="Book Antiqua" w:hAnsi="Book Antiqua"/>
                <w:sz w:val="24"/>
                <w:szCs w:val="24"/>
              </w:rPr>
              <w:t xml:space="preserve">loan repayment </w:t>
            </w:r>
            <w:r w:rsidR="00575F19" w:rsidRPr="00296E3E">
              <w:rPr>
                <w:rFonts w:ascii="Book Antiqua" w:hAnsi="Book Antiqua"/>
                <w:sz w:val="24"/>
                <w:szCs w:val="24"/>
              </w:rPr>
              <w:lastRenderedPageBreak/>
              <w:t xml:space="preserve">obligation without any negative cashflow impact on the </w:t>
            </w:r>
            <w:r w:rsidR="00E63973" w:rsidRPr="00296E3E">
              <w:rPr>
                <w:rFonts w:ascii="Book Antiqua" w:hAnsi="Book Antiqua"/>
                <w:sz w:val="24"/>
                <w:szCs w:val="24"/>
              </w:rPr>
              <w:t>Company. Since</w:t>
            </w:r>
            <w:r w:rsidR="00575F19" w:rsidRPr="00296E3E">
              <w:rPr>
                <w:rFonts w:ascii="Book Antiqua" w:hAnsi="Book Antiqua"/>
                <w:sz w:val="24"/>
                <w:szCs w:val="24"/>
              </w:rPr>
              <w:t>, Majority of the loan repayment terms were 10-15 years only.</w:t>
            </w:r>
          </w:p>
          <w:p w14:paraId="05C83441" w14:textId="77777777" w:rsidR="00A3794A" w:rsidRPr="00296E3E" w:rsidRDefault="00DD0DBB" w:rsidP="00B768E4">
            <w:pPr>
              <w:pStyle w:val="BodyText"/>
              <w:numPr>
                <w:ilvl w:val="0"/>
                <w:numId w:val="11"/>
              </w:numPr>
              <w:spacing w:before="202" w:line="271" w:lineRule="auto"/>
              <w:ind w:left="356" w:right="159" w:hanging="356"/>
              <w:jc w:val="both"/>
              <w:rPr>
                <w:rFonts w:ascii="Book Antiqua" w:hAnsi="Book Antiqua"/>
                <w:sz w:val="24"/>
                <w:szCs w:val="24"/>
              </w:rPr>
            </w:pPr>
            <w:r w:rsidRPr="00296E3E">
              <w:rPr>
                <w:rFonts w:ascii="Book Antiqua" w:hAnsi="Book Antiqua"/>
                <w:sz w:val="24"/>
                <w:szCs w:val="24"/>
              </w:rPr>
              <w:t>However, the Hon’ble TGERC</w:t>
            </w:r>
            <w:r w:rsidR="00575F19" w:rsidRPr="00296E3E">
              <w:rPr>
                <w:rFonts w:ascii="Book Antiqua" w:hAnsi="Book Antiqua"/>
                <w:sz w:val="24"/>
                <w:szCs w:val="24"/>
              </w:rPr>
              <w:t xml:space="preserve"> has </w:t>
            </w:r>
            <w:r w:rsidRPr="00296E3E">
              <w:rPr>
                <w:rFonts w:ascii="Book Antiqua" w:hAnsi="Book Antiqua"/>
                <w:sz w:val="24"/>
                <w:szCs w:val="24"/>
              </w:rPr>
              <w:t>issued New Regulation No.2 of 2023</w:t>
            </w:r>
            <w:r w:rsidR="003E2BDB" w:rsidRPr="00296E3E">
              <w:rPr>
                <w:rFonts w:ascii="Book Antiqua" w:hAnsi="Book Antiqua"/>
                <w:sz w:val="24"/>
                <w:szCs w:val="24"/>
              </w:rPr>
              <w:t xml:space="preserve">, </w:t>
            </w:r>
            <w:r w:rsidR="00575F19" w:rsidRPr="00296E3E">
              <w:rPr>
                <w:rFonts w:ascii="Book Antiqua" w:hAnsi="Book Antiqua"/>
                <w:sz w:val="24"/>
                <w:szCs w:val="24"/>
              </w:rPr>
              <w:t xml:space="preserve">duly </w:t>
            </w:r>
            <w:r w:rsidR="00D24C47" w:rsidRPr="00296E3E">
              <w:rPr>
                <w:rFonts w:ascii="Book Antiqua" w:hAnsi="Book Antiqua"/>
                <w:sz w:val="24"/>
                <w:szCs w:val="24"/>
              </w:rPr>
              <w:t>changing</w:t>
            </w:r>
            <w:r w:rsidR="00575F19" w:rsidRPr="00296E3E">
              <w:rPr>
                <w:rFonts w:ascii="Book Antiqua" w:hAnsi="Book Antiqua"/>
                <w:sz w:val="24"/>
                <w:szCs w:val="24"/>
              </w:rPr>
              <w:t xml:space="preserve"> </w:t>
            </w:r>
            <w:r w:rsidR="00D24C47" w:rsidRPr="00296E3E">
              <w:rPr>
                <w:rFonts w:ascii="Book Antiqua" w:hAnsi="Book Antiqua"/>
                <w:sz w:val="24"/>
                <w:szCs w:val="24"/>
              </w:rPr>
              <w:t>methodology</w:t>
            </w:r>
            <w:r w:rsidR="00575F19" w:rsidRPr="00296E3E">
              <w:rPr>
                <w:rFonts w:ascii="Book Antiqua" w:hAnsi="Book Antiqua"/>
                <w:sz w:val="24"/>
                <w:szCs w:val="24"/>
              </w:rPr>
              <w:t xml:space="preserve"> of depreciation to </w:t>
            </w:r>
            <w:r w:rsidR="00D24C47" w:rsidRPr="00296E3E">
              <w:rPr>
                <w:rFonts w:ascii="Book Antiqua" w:hAnsi="Book Antiqua"/>
                <w:sz w:val="24"/>
                <w:szCs w:val="24"/>
              </w:rPr>
              <w:t>uniform</w:t>
            </w:r>
            <w:r w:rsidR="00575F19" w:rsidRPr="00296E3E">
              <w:rPr>
                <w:rFonts w:ascii="Book Antiqua" w:hAnsi="Book Antiqua"/>
                <w:sz w:val="24"/>
                <w:szCs w:val="24"/>
              </w:rPr>
              <w:t xml:space="preserve"> straight line method over the useful life of the asset. As such the depreciation amount of the Company has been reduced to 50% Approx. in Transmission business. Due to which the Company is facing shortage of funds to meet repayment obligations</w:t>
            </w:r>
            <w:r w:rsidRPr="00296E3E">
              <w:rPr>
                <w:rFonts w:ascii="Book Antiqua" w:hAnsi="Book Antiqua"/>
                <w:sz w:val="24"/>
                <w:szCs w:val="24"/>
              </w:rPr>
              <w:t>.  (Details of such shortage has been provided in ATP filings</w:t>
            </w:r>
            <w:r w:rsidR="003E2BDB" w:rsidRPr="00296E3E">
              <w:rPr>
                <w:rFonts w:ascii="Book Antiqua" w:hAnsi="Book Antiqua"/>
                <w:sz w:val="24"/>
                <w:szCs w:val="24"/>
              </w:rPr>
              <w:t xml:space="preserve"> at </w:t>
            </w:r>
            <w:r w:rsidR="00531313" w:rsidRPr="00296E3E">
              <w:rPr>
                <w:rFonts w:ascii="Book Antiqua" w:hAnsi="Book Antiqua"/>
                <w:sz w:val="24"/>
                <w:szCs w:val="24"/>
              </w:rPr>
              <w:t>point no.</w:t>
            </w:r>
            <w:r w:rsidR="00A3794A" w:rsidRPr="00296E3E">
              <w:rPr>
                <w:rFonts w:ascii="Book Antiqua" w:hAnsi="Book Antiqua"/>
                <w:sz w:val="24"/>
                <w:szCs w:val="24"/>
              </w:rPr>
              <w:t>ii(c )(11)</w:t>
            </w:r>
            <w:r w:rsidRPr="00296E3E">
              <w:rPr>
                <w:rFonts w:ascii="Book Antiqua" w:hAnsi="Book Antiqua"/>
                <w:sz w:val="24"/>
                <w:szCs w:val="24"/>
              </w:rPr>
              <w:t>).</w:t>
            </w:r>
          </w:p>
          <w:p w14:paraId="6C8965A5" w14:textId="77777777" w:rsidR="00EA21C4" w:rsidRPr="00296E3E" w:rsidRDefault="00EA21C4" w:rsidP="00B768E4">
            <w:pPr>
              <w:pStyle w:val="BodyText"/>
              <w:numPr>
                <w:ilvl w:val="0"/>
                <w:numId w:val="11"/>
              </w:numPr>
              <w:spacing w:before="202" w:line="271" w:lineRule="auto"/>
              <w:ind w:left="356" w:right="159" w:hanging="356"/>
              <w:jc w:val="both"/>
              <w:rPr>
                <w:rFonts w:ascii="Book Antiqua" w:hAnsi="Book Antiqua"/>
                <w:sz w:val="24"/>
                <w:szCs w:val="24"/>
              </w:rPr>
            </w:pPr>
            <w:r w:rsidRPr="00296E3E">
              <w:rPr>
                <w:rFonts w:ascii="Book Antiqua" w:hAnsi="Book Antiqua"/>
                <w:sz w:val="24"/>
                <w:szCs w:val="24"/>
              </w:rPr>
              <w:t>Further to the above, it is to submit that if the Company would have followed CERC methodology of Depreciation the amount of Depreciation for the FY 2024-25 works to Rs.1,163.99 crores approx.,</w:t>
            </w:r>
          </w:p>
          <w:p w14:paraId="6E0D6872" w14:textId="77777777" w:rsidR="00DD0DBB" w:rsidRPr="00296E3E" w:rsidRDefault="00DD0DBB" w:rsidP="00B768E4">
            <w:pPr>
              <w:pStyle w:val="BodyText"/>
              <w:numPr>
                <w:ilvl w:val="0"/>
                <w:numId w:val="11"/>
              </w:numPr>
              <w:spacing w:before="202" w:line="271" w:lineRule="auto"/>
              <w:ind w:left="356" w:right="159" w:hanging="356"/>
              <w:jc w:val="both"/>
              <w:rPr>
                <w:rFonts w:ascii="Book Antiqua" w:hAnsi="Book Antiqua"/>
                <w:color w:val="000000" w:themeColor="text1"/>
                <w:sz w:val="24"/>
                <w:szCs w:val="24"/>
              </w:rPr>
            </w:pPr>
            <w:r w:rsidRPr="00296E3E">
              <w:rPr>
                <w:rFonts w:ascii="Book Antiqua" w:hAnsi="Book Antiqua"/>
                <w:sz w:val="24"/>
                <w:szCs w:val="24"/>
              </w:rPr>
              <w:t>In this regard the Company has</w:t>
            </w:r>
            <w:r w:rsidR="002C706E" w:rsidRPr="00296E3E">
              <w:rPr>
                <w:rFonts w:ascii="Book Antiqua" w:hAnsi="Book Antiqua"/>
                <w:sz w:val="24"/>
                <w:szCs w:val="24"/>
              </w:rPr>
              <w:t xml:space="preserve"> </w:t>
            </w:r>
            <w:r w:rsidRPr="00296E3E">
              <w:rPr>
                <w:rFonts w:ascii="Book Antiqua" w:hAnsi="Book Antiqua"/>
                <w:sz w:val="24"/>
                <w:szCs w:val="24"/>
              </w:rPr>
              <w:t>requested the Ho</w:t>
            </w:r>
            <w:r w:rsidR="00D24C47" w:rsidRPr="00296E3E">
              <w:rPr>
                <w:rFonts w:ascii="Book Antiqua" w:hAnsi="Book Antiqua"/>
                <w:sz w:val="24"/>
                <w:szCs w:val="24"/>
              </w:rPr>
              <w:t>n</w:t>
            </w:r>
            <w:r w:rsidRPr="00296E3E">
              <w:rPr>
                <w:rFonts w:ascii="Book Antiqua" w:hAnsi="Book Antiqua"/>
                <w:sz w:val="24"/>
                <w:szCs w:val="24"/>
              </w:rPr>
              <w:t xml:space="preserve">’ble Commission to provide Advance </w:t>
            </w:r>
            <w:r w:rsidR="002C706E" w:rsidRPr="00296E3E">
              <w:rPr>
                <w:rFonts w:ascii="Book Antiqua" w:hAnsi="Book Antiqua"/>
                <w:sz w:val="24"/>
                <w:szCs w:val="24"/>
              </w:rPr>
              <w:t xml:space="preserve">against </w:t>
            </w:r>
            <w:r w:rsidRPr="00296E3E">
              <w:rPr>
                <w:rFonts w:ascii="Book Antiqua" w:hAnsi="Book Antiqua"/>
                <w:sz w:val="24"/>
                <w:szCs w:val="24"/>
              </w:rPr>
              <w:t xml:space="preserve">Depreciation </w:t>
            </w:r>
            <w:r w:rsidR="002C706E" w:rsidRPr="00296E3E">
              <w:rPr>
                <w:rFonts w:ascii="Book Antiqua" w:hAnsi="Book Antiqua"/>
                <w:sz w:val="24"/>
                <w:szCs w:val="24"/>
              </w:rPr>
              <w:t xml:space="preserve">in the </w:t>
            </w:r>
            <w:r w:rsidR="00D24C47" w:rsidRPr="00296E3E">
              <w:rPr>
                <w:rFonts w:ascii="Book Antiqua" w:hAnsi="Book Antiqua"/>
                <w:sz w:val="24"/>
                <w:szCs w:val="24"/>
              </w:rPr>
              <w:t>relevant</w:t>
            </w:r>
            <w:r w:rsidR="002C706E" w:rsidRPr="00296E3E">
              <w:rPr>
                <w:rFonts w:ascii="Book Antiqua" w:hAnsi="Book Antiqua"/>
                <w:sz w:val="24"/>
                <w:szCs w:val="24"/>
              </w:rPr>
              <w:t xml:space="preserve"> year and to be adjusted in future where the</w:t>
            </w:r>
            <w:r w:rsidRPr="00296E3E">
              <w:rPr>
                <w:rFonts w:ascii="Book Antiqua" w:hAnsi="Book Antiqua"/>
                <w:sz w:val="24"/>
                <w:szCs w:val="24"/>
              </w:rPr>
              <w:t xml:space="preserve"> actual loan repayment is </w:t>
            </w:r>
            <w:r w:rsidR="00A3794A" w:rsidRPr="00296E3E">
              <w:rPr>
                <w:rFonts w:ascii="Book Antiqua" w:hAnsi="Book Antiqua"/>
                <w:sz w:val="24"/>
                <w:szCs w:val="24"/>
              </w:rPr>
              <w:t xml:space="preserve">less </w:t>
            </w:r>
            <w:r w:rsidRPr="00296E3E">
              <w:rPr>
                <w:rFonts w:ascii="Book Antiqua" w:hAnsi="Book Antiqua"/>
                <w:sz w:val="24"/>
                <w:szCs w:val="24"/>
              </w:rPr>
              <w:t xml:space="preserve">than the depreciation </w:t>
            </w:r>
            <w:r w:rsidR="002C706E" w:rsidRPr="00296E3E">
              <w:rPr>
                <w:rFonts w:ascii="Book Antiqua" w:hAnsi="Book Antiqua"/>
                <w:sz w:val="24"/>
                <w:szCs w:val="24"/>
              </w:rPr>
              <w:t>amount</w:t>
            </w:r>
            <w:r w:rsidRPr="00296E3E">
              <w:rPr>
                <w:rFonts w:ascii="Book Antiqua" w:hAnsi="Book Antiqua"/>
                <w:sz w:val="24"/>
                <w:szCs w:val="24"/>
              </w:rPr>
              <w:t>.</w:t>
            </w:r>
          </w:p>
        </w:tc>
      </w:tr>
      <w:tr w:rsidR="00296E3E" w:rsidRPr="00296E3E" w14:paraId="74C82696" w14:textId="77777777" w:rsidTr="00DA6E89">
        <w:trPr>
          <w:jc w:val="center"/>
        </w:trPr>
        <w:tc>
          <w:tcPr>
            <w:tcW w:w="816" w:type="dxa"/>
            <w:vAlign w:val="center"/>
          </w:tcPr>
          <w:p w14:paraId="4E2EF9CE" w14:textId="77777777" w:rsidR="00296E3E" w:rsidRPr="00296E3E" w:rsidRDefault="00296E3E" w:rsidP="00D27582">
            <w:pPr>
              <w:spacing w:after="0" w:line="240" w:lineRule="auto"/>
              <w:jc w:val="center"/>
              <w:rPr>
                <w:rFonts w:ascii="Book Antiqua" w:hAnsi="Book Antiqua"/>
                <w:color w:val="000000" w:themeColor="text1"/>
                <w:sz w:val="24"/>
                <w:szCs w:val="24"/>
              </w:rPr>
            </w:pPr>
            <w:r w:rsidRPr="00296E3E">
              <w:rPr>
                <w:rFonts w:ascii="Book Antiqua" w:hAnsi="Book Antiqua"/>
                <w:color w:val="000000" w:themeColor="text1"/>
                <w:sz w:val="24"/>
                <w:szCs w:val="24"/>
              </w:rPr>
              <w:lastRenderedPageBreak/>
              <w:t>4</w:t>
            </w:r>
          </w:p>
        </w:tc>
        <w:tc>
          <w:tcPr>
            <w:tcW w:w="7371" w:type="dxa"/>
            <w:shd w:val="clear" w:color="auto" w:fill="auto"/>
          </w:tcPr>
          <w:p w14:paraId="7B323DC8" w14:textId="77777777" w:rsidR="00296E3E" w:rsidRPr="00DA7188" w:rsidRDefault="00296E3E" w:rsidP="00296E3E">
            <w:pPr>
              <w:pStyle w:val="TableParagraph"/>
              <w:spacing w:line="279" w:lineRule="exact"/>
              <w:rPr>
                <w:rFonts w:ascii="Book Antiqua" w:eastAsia="Calibri" w:hAnsi="Book Antiqua" w:cs="Times New Roman"/>
                <w:b/>
                <w:sz w:val="24"/>
                <w:szCs w:val="24"/>
              </w:rPr>
            </w:pPr>
            <w:r w:rsidRPr="00DA7188">
              <w:rPr>
                <w:rFonts w:ascii="Book Antiqua" w:eastAsia="Calibri" w:hAnsi="Book Antiqua" w:cs="Times New Roman"/>
                <w:b/>
                <w:sz w:val="24"/>
                <w:szCs w:val="24"/>
              </w:rPr>
              <w:t>Opening GFA</w:t>
            </w:r>
          </w:p>
          <w:p w14:paraId="51791BB7" w14:textId="77777777" w:rsidR="00296E3E" w:rsidRPr="00DA7188" w:rsidRDefault="00296E3E" w:rsidP="00296E3E">
            <w:pPr>
              <w:pStyle w:val="TableParagraph"/>
              <w:spacing w:line="279" w:lineRule="exact"/>
              <w:rPr>
                <w:rFonts w:ascii="Book Antiqua" w:eastAsia="Calibri" w:hAnsi="Book Antiqua" w:cs="Times New Roman"/>
                <w:b/>
                <w:sz w:val="24"/>
                <w:szCs w:val="24"/>
              </w:rPr>
            </w:pPr>
          </w:p>
          <w:p w14:paraId="2E291146" w14:textId="77777777" w:rsidR="00296E3E" w:rsidRPr="00296E3E" w:rsidRDefault="00296E3E" w:rsidP="00296E3E">
            <w:pPr>
              <w:pStyle w:val="TableParagraph"/>
              <w:ind w:right="89"/>
              <w:jc w:val="both"/>
              <w:rPr>
                <w:rFonts w:ascii="Book Antiqua" w:eastAsia="Calibri" w:hAnsi="Book Antiqua" w:cs="Times New Roman"/>
                <w:sz w:val="24"/>
                <w:szCs w:val="24"/>
              </w:rPr>
            </w:pPr>
            <w:r w:rsidRPr="00296E3E">
              <w:rPr>
                <w:rFonts w:ascii="Book Antiqua" w:eastAsia="Calibri" w:hAnsi="Book Antiqua" w:cs="Times New Roman"/>
                <w:sz w:val="24"/>
                <w:szCs w:val="24"/>
              </w:rPr>
              <w:t>The petition and Excel Form</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4 indicate an Opening Gross Fixed Asset value of Rs. 22,900.11 crore for FY 2023</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24, whereas the FY 2023</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24 true</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 xml:space="preserve">up order reportedly admitted Rs. 22,865.70 crore. </w:t>
            </w:r>
            <w:r w:rsidRPr="00296E3E">
              <w:rPr>
                <w:rFonts w:ascii="Book Antiqua" w:eastAsia="Calibri" w:hAnsi="Book Antiqua" w:cs="Times New Roman"/>
                <w:sz w:val="24"/>
                <w:szCs w:val="24"/>
              </w:rPr>
              <w:lastRenderedPageBreak/>
              <w:t>This difference of over Rs. 34 crores directly influences depreciation, interest on loan, and RoE computations. Under Regulation 20.5 (Financial Prudence) and Regulation 21.3 (Capital Cost), opening asset values must be consistent with Commission</w:t>
            </w:r>
            <w:r w:rsidRPr="00296E3E">
              <w:rPr>
                <w:rFonts w:ascii="Times New Roman" w:eastAsia="Calibri" w:hAnsi="Times New Roman" w:cs="Times New Roman"/>
                <w:sz w:val="24"/>
                <w:szCs w:val="24"/>
              </w:rPr>
              <w:t>‑</w:t>
            </w:r>
            <w:r w:rsidRPr="00296E3E">
              <w:rPr>
                <w:rFonts w:ascii="Book Antiqua" w:eastAsia="Calibri" w:hAnsi="Book Antiqua" w:cs="Times New Roman"/>
                <w:sz w:val="24"/>
                <w:szCs w:val="24"/>
              </w:rPr>
              <w:t>admitted figures unless fully justified. In view of the above, as the petition provides no reconciliation or explanation for this difference such as restatements, or correction entries, TGDISCOMs request the Hon’ble Commission to consider opening GFA Rs. 22,865.70 crore as per the approved true-</w:t>
            </w:r>
            <w:r>
              <w:rPr>
                <w:rFonts w:ascii="Book Antiqua" w:eastAsia="Calibri" w:hAnsi="Book Antiqua" w:cs="Times New Roman"/>
                <w:sz w:val="24"/>
                <w:szCs w:val="24"/>
              </w:rPr>
              <w:t xml:space="preserve"> </w:t>
            </w:r>
            <w:r w:rsidRPr="00296E3E">
              <w:rPr>
                <w:rFonts w:ascii="Book Antiqua" w:eastAsia="Calibri" w:hAnsi="Book Antiqua" w:cs="Times New Roman"/>
                <w:sz w:val="24"/>
                <w:szCs w:val="24"/>
              </w:rPr>
              <w:t>up order of 2023-24 dt:29.04.2025.</w:t>
            </w:r>
          </w:p>
        </w:tc>
        <w:tc>
          <w:tcPr>
            <w:tcW w:w="7132" w:type="dxa"/>
          </w:tcPr>
          <w:p w14:paraId="78888371" w14:textId="77777777" w:rsidR="00296E3E" w:rsidRDefault="009833AB" w:rsidP="009833AB">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lastRenderedPageBreak/>
              <w:t xml:space="preserve">As per the </w:t>
            </w:r>
            <w:r w:rsidR="00DA7188">
              <w:rPr>
                <w:rFonts w:ascii="Book Antiqua" w:hAnsi="Book Antiqua"/>
                <w:color w:val="000000" w:themeColor="text1"/>
                <w:sz w:val="24"/>
                <w:szCs w:val="24"/>
              </w:rPr>
              <w:t xml:space="preserve">ATP </w:t>
            </w:r>
            <w:r>
              <w:rPr>
                <w:rFonts w:ascii="Book Antiqua" w:hAnsi="Book Antiqua"/>
                <w:color w:val="000000" w:themeColor="text1"/>
                <w:sz w:val="24"/>
                <w:szCs w:val="24"/>
              </w:rPr>
              <w:t xml:space="preserve">Order of FY 2025-26 dated 29.04.2025 the Company has calimed at Para no.3.8 the </w:t>
            </w:r>
            <w:r w:rsidR="00DA7188">
              <w:rPr>
                <w:rFonts w:ascii="Book Antiqua" w:hAnsi="Book Antiqua"/>
                <w:color w:val="000000" w:themeColor="text1"/>
                <w:sz w:val="24"/>
                <w:szCs w:val="24"/>
              </w:rPr>
              <w:t xml:space="preserve">Opening GFA </w:t>
            </w:r>
            <w:r>
              <w:rPr>
                <w:rFonts w:ascii="Book Antiqua" w:hAnsi="Book Antiqua"/>
                <w:color w:val="000000" w:themeColor="text1"/>
                <w:sz w:val="24"/>
                <w:szCs w:val="24"/>
              </w:rPr>
              <w:t xml:space="preserve">is </w:t>
            </w:r>
            <w:r>
              <w:rPr>
                <w:rFonts w:ascii="Book Antiqua" w:hAnsi="Book Antiqua"/>
                <w:color w:val="000000" w:themeColor="text1"/>
                <w:sz w:val="24"/>
                <w:szCs w:val="24"/>
              </w:rPr>
              <w:lastRenderedPageBreak/>
              <w:t>Rs.22,900.11 Crores and additions for the FY 2023-24 of Rs.1,246.34 crores based on audited Annual Accounts.</w:t>
            </w:r>
          </w:p>
          <w:p w14:paraId="28277E2A" w14:textId="77777777" w:rsidR="009833AB" w:rsidRDefault="009833AB" w:rsidP="009833AB">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Futher, the detailed breakup of Opening GFA approved by the Hon’ble Commission is not available with the Company.</w:t>
            </w:r>
          </w:p>
          <w:p w14:paraId="0E1FCB55" w14:textId="5E470F59" w:rsidR="009833AB" w:rsidRPr="00296E3E" w:rsidRDefault="009833AB" w:rsidP="009833AB">
            <w:pPr>
              <w:pStyle w:val="BodyText"/>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 xml:space="preserve">Therefore, the Company has considered Rs.24,146.45 crores as Opening GFA </w:t>
            </w:r>
            <w:r w:rsidR="00B81463">
              <w:rPr>
                <w:rFonts w:ascii="Book Antiqua" w:hAnsi="Book Antiqua"/>
                <w:color w:val="000000" w:themeColor="text1"/>
                <w:sz w:val="24"/>
                <w:szCs w:val="24"/>
              </w:rPr>
              <w:t xml:space="preserve">for FY: 2024-25 </w:t>
            </w:r>
            <w:bookmarkStart w:id="1" w:name="_GoBack"/>
            <w:bookmarkEnd w:id="1"/>
            <w:r>
              <w:rPr>
                <w:rFonts w:ascii="Book Antiqua" w:hAnsi="Book Antiqua"/>
                <w:color w:val="000000" w:themeColor="text1"/>
                <w:sz w:val="24"/>
                <w:szCs w:val="24"/>
              </w:rPr>
              <w:t>in the</w:t>
            </w:r>
            <w:r w:rsidR="00AF4D4C">
              <w:rPr>
                <w:rFonts w:ascii="Book Antiqua" w:hAnsi="Book Antiqua"/>
                <w:color w:val="000000" w:themeColor="text1"/>
                <w:sz w:val="24"/>
                <w:szCs w:val="24"/>
              </w:rPr>
              <w:t xml:space="preserve"> ATP filings for the FY 2026-27 as per Audited Accounts.</w:t>
            </w:r>
          </w:p>
        </w:tc>
      </w:tr>
    </w:tbl>
    <w:p w14:paraId="5444BC63" w14:textId="77777777" w:rsidR="00C43529" w:rsidRDefault="00C43529" w:rsidP="00292CB0">
      <w:pPr>
        <w:spacing w:after="0" w:line="360" w:lineRule="auto"/>
        <w:jc w:val="center"/>
        <w:rPr>
          <w:rFonts w:ascii="Book Antiqua" w:hAnsi="Book Antiqua"/>
          <w:b/>
          <w:sz w:val="24"/>
          <w:szCs w:val="24"/>
          <w:u w:val="single"/>
        </w:rPr>
      </w:pPr>
    </w:p>
    <w:p w14:paraId="04310E7C" w14:textId="5CE7CCFA" w:rsidR="004A3F26" w:rsidRDefault="004A3F26">
      <w:pPr>
        <w:spacing w:after="0" w:line="240" w:lineRule="auto"/>
        <w:rPr>
          <w:rFonts w:ascii="Book Antiqua" w:hAnsi="Book Antiqua"/>
          <w:b/>
          <w:sz w:val="24"/>
          <w:szCs w:val="24"/>
          <w:u w:val="single"/>
        </w:rPr>
      </w:pPr>
    </w:p>
    <w:p w14:paraId="641EDB80" w14:textId="77777777" w:rsidR="004A3F26" w:rsidRPr="004A3F26" w:rsidRDefault="004A3F26" w:rsidP="004A3F26">
      <w:pPr>
        <w:rPr>
          <w:rFonts w:ascii="Book Antiqua" w:hAnsi="Book Antiqua"/>
          <w:sz w:val="24"/>
          <w:szCs w:val="24"/>
        </w:rPr>
      </w:pPr>
    </w:p>
    <w:p w14:paraId="7FE135C2" w14:textId="77777777" w:rsidR="004A3F26" w:rsidRPr="004A3F26" w:rsidRDefault="004A3F26" w:rsidP="004A3F26">
      <w:pPr>
        <w:rPr>
          <w:rFonts w:ascii="Book Antiqua" w:hAnsi="Book Antiqua"/>
          <w:sz w:val="24"/>
          <w:szCs w:val="24"/>
        </w:rPr>
      </w:pPr>
    </w:p>
    <w:p w14:paraId="43AF860F" w14:textId="1F13D7DA" w:rsidR="004A3F26" w:rsidRDefault="004A3F26">
      <w:pPr>
        <w:spacing w:after="0" w:line="240" w:lineRule="auto"/>
        <w:rPr>
          <w:rFonts w:ascii="Book Antiqua" w:hAnsi="Book Antiqua"/>
          <w:sz w:val="24"/>
          <w:szCs w:val="24"/>
        </w:rPr>
      </w:pPr>
    </w:p>
    <w:p w14:paraId="574C91A6" w14:textId="27A5A496" w:rsidR="004A3F26" w:rsidRDefault="004A3F26">
      <w:pPr>
        <w:spacing w:after="0" w:line="240" w:lineRule="auto"/>
        <w:rPr>
          <w:rFonts w:ascii="Book Antiqua" w:hAnsi="Book Antiqua"/>
          <w:sz w:val="24"/>
          <w:szCs w:val="24"/>
        </w:rPr>
      </w:pPr>
    </w:p>
    <w:p w14:paraId="3B834DCB" w14:textId="19C02A20" w:rsidR="0090384C" w:rsidRDefault="004A3F26" w:rsidP="004A3F26">
      <w:pPr>
        <w:tabs>
          <w:tab w:val="left" w:pos="8511"/>
        </w:tabs>
        <w:spacing w:after="0" w:line="240" w:lineRule="auto"/>
        <w:rPr>
          <w:rFonts w:ascii="Book Antiqua" w:hAnsi="Book Antiqua"/>
          <w:b/>
          <w:sz w:val="24"/>
          <w:szCs w:val="24"/>
          <w:u w:val="single"/>
        </w:rPr>
      </w:pPr>
      <w:r>
        <w:rPr>
          <w:rFonts w:ascii="Book Antiqua" w:hAnsi="Book Antiqua"/>
          <w:sz w:val="24"/>
          <w:szCs w:val="24"/>
        </w:rPr>
        <w:tab/>
      </w:r>
    </w:p>
    <w:sectPr w:rsidR="0090384C" w:rsidSect="0056364C">
      <w:headerReference w:type="default" r:id="rId8"/>
      <w:footerReference w:type="default" r:id="rId9"/>
      <w:pgSz w:w="16838" w:h="11906" w:orient="landscape" w:code="9"/>
      <w:pgMar w:top="1152" w:right="864" w:bottom="1152"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3ADEC" w14:textId="77777777" w:rsidR="00AB6E61" w:rsidRDefault="00AB6E61" w:rsidP="00515F57">
      <w:pPr>
        <w:spacing w:after="0" w:line="240" w:lineRule="auto"/>
      </w:pPr>
      <w:r>
        <w:separator/>
      </w:r>
    </w:p>
  </w:endnote>
  <w:endnote w:type="continuationSeparator" w:id="0">
    <w:p w14:paraId="677C0D7C" w14:textId="77777777" w:rsidR="00AB6E61" w:rsidRDefault="00AB6E61"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41B95" w14:textId="7D5E2262" w:rsidR="003D3B37" w:rsidRDefault="003D3B37">
    <w:pPr>
      <w:pStyle w:val="Footer"/>
      <w:jc w:val="center"/>
    </w:pPr>
    <w:r>
      <w:fldChar w:fldCharType="begin"/>
    </w:r>
    <w:r>
      <w:instrText xml:space="preserve"> PAGE   \* MERGEFORMAT </w:instrText>
    </w:r>
    <w:r>
      <w:fldChar w:fldCharType="separate"/>
    </w:r>
    <w:r w:rsidR="00B81463">
      <w:rPr>
        <w:noProof/>
      </w:rPr>
      <w:t>2</w:t>
    </w:r>
    <w:r>
      <w:rPr>
        <w:noProof/>
      </w:rPr>
      <w:fldChar w:fldCharType="end"/>
    </w:r>
  </w:p>
  <w:p w14:paraId="5952E3F1" w14:textId="77777777" w:rsidR="003D3B37" w:rsidRDefault="003D3B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D98DB" w14:textId="77777777" w:rsidR="00AB6E61" w:rsidRDefault="00AB6E61" w:rsidP="00515F57">
      <w:pPr>
        <w:spacing w:after="0" w:line="240" w:lineRule="auto"/>
      </w:pPr>
      <w:r>
        <w:separator/>
      </w:r>
    </w:p>
  </w:footnote>
  <w:footnote w:type="continuationSeparator" w:id="0">
    <w:p w14:paraId="32391559" w14:textId="77777777" w:rsidR="00AB6E61" w:rsidRDefault="00AB6E61"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9C6E1" w14:textId="77777777" w:rsidR="003D3B37" w:rsidRDefault="003D3B37">
    <w:pPr>
      <w:pStyle w:val="Header"/>
      <w:jc w:val="center"/>
    </w:pPr>
  </w:p>
  <w:p w14:paraId="58BF65E0" w14:textId="77777777" w:rsidR="003D3B37" w:rsidRDefault="003D3B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DD2"/>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D830E8"/>
    <w:multiLevelType w:val="hybridMultilevel"/>
    <w:tmpl w:val="B80AD0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22107850"/>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7" w15:restartNumberingAfterBreak="0">
    <w:nsid w:val="24161883"/>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8"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9"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0"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DB746F2"/>
    <w:multiLevelType w:val="hybridMultilevel"/>
    <w:tmpl w:val="B2A26672"/>
    <w:lvl w:ilvl="0" w:tplc="2FC4F2E4">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430025BE"/>
    <w:multiLevelType w:val="hybridMultilevel"/>
    <w:tmpl w:val="642C65E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5DB2DC7"/>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15"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6" w15:restartNumberingAfterBreak="0">
    <w:nsid w:val="51044488"/>
    <w:multiLevelType w:val="hybridMultilevel"/>
    <w:tmpl w:val="8AA691EE"/>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1DD4802"/>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18" w15:restartNumberingAfterBreak="0">
    <w:nsid w:val="55EA2D8E"/>
    <w:multiLevelType w:val="hybridMultilevel"/>
    <w:tmpl w:val="4C60715A"/>
    <w:lvl w:ilvl="0" w:tplc="F48A10B4">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0" w15:restartNumberingAfterBreak="0">
    <w:nsid w:val="5ABA6045"/>
    <w:multiLevelType w:val="hybridMultilevel"/>
    <w:tmpl w:val="2EB8A5A6"/>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F661F48"/>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4" w15:restartNumberingAfterBreak="0">
    <w:nsid w:val="65BD59F3"/>
    <w:multiLevelType w:val="hybridMultilevel"/>
    <w:tmpl w:val="842AD35A"/>
    <w:lvl w:ilvl="0" w:tplc="3470237A">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71EC36EC"/>
    <w:multiLevelType w:val="hybridMultilevel"/>
    <w:tmpl w:val="77D6B284"/>
    <w:lvl w:ilvl="0" w:tplc="E93E89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7"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3C0A26"/>
    <w:multiLevelType w:val="hybridMultilevel"/>
    <w:tmpl w:val="CA12B452"/>
    <w:lvl w:ilvl="0" w:tplc="944826B2">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9"/>
  </w:num>
  <w:num w:numId="2">
    <w:abstractNumId w:val="26"/>
  </w:num>
  <w:num w:numId="3">
    <w:abstractNumId w:val="3"/>
  </w:num>
  <w:num w:numId="4">
    <w:abstractNumId w:val="15"/>
  </w:num>
  <w:num w:numId="5">
    <w:abstractNumId w:val="23"/>
  </w:num>
  <w:num w:numId="6">
    <w:abstractNumId w:val="9"/>
  </w:num>
  <w:num w:numId="7">
    <w:abstractNumId w:val="5"/>
  </w:num>
  <w:num w:numId="8">
    <w:abstractNumId w:val="2"/>
  </w:num>
  <w:num w:numId="9">
    <w:abstractNumId w:val="4"/>
  </w:num>
  <w:num w:numId="10">
    <w:abstractNumId w:val="8"/>
  </w:num>
  <w:num w:numId="11">
    <w:abstractNumId w:val="10"/>
  </w:num>
  <w:num w:numId="12">
    <w:abstractNumId w:val="11"/>
  </w:num>
  <w:num w:numId="13">
    <w:abstractNumId w:val="21"/>
  </w:num>
  <w:num w:numId="14">
    <w:abstractNumId w:val="27"/>
  </w:num>
  <w:num w:numId="15">
    <w:abstractNumId w:val="25"/>
  </w:num>
  <w:num w:numId="16">
    <w:abstractNumId w:val="22"/>
  </w:num>
  <w:num w:numId="17">
    <w:abstractNumId w:val="20"/>
  </w:num>
  <w:num w:numId="18">
    <w:abstractNumId w:val="1"/>
  </w:num>
  <w:num w:numId="19">
    <w:abstractNumId w:val="24"/>
  </w:num>
  <w:num w:numId="20">
    <w:abstractNumId w:val="16"/>
  </w:num>
  <w:num w:numId="21">
    <w:abstractNumId w:val="28"/>
  </w:num>
  <w:num w:numId="22">
    <w:abstractNumId w:val="12"/>
  </w:num>
  <w:num w:numId="23">
    <w:abstractNumId w:val="18"/>
  </w:num>
  <w:num w:numId="24">
    <w:abstractNumId w:val="0"/>
  </w:num>
  <w:num w:numId="25">
    <w:abstractNumId w:val="17"/>
  </w:num>
  <w:num w:numId="26">
    <w:abstractNumId w:val="6"/>
  </w:num>
  <w:num w:numId="27">
    <w:abstractNumId w:val="7"/>
  </w:num>
  <w:num w:numId="28">
    <w:abstractNumId w:val="14"/>
  </w:num>
  <w:num w:numId="2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297D"/>
    <w:rsid w:val="000031B2"/>
    <w:rsid w:val="000043D1"/>
    <w:rsid w:val="000051DA"/>
    <w:rsid w:val="000052B2"/>
    <w:rsid w:val="0000629D"/>
    <w:rsid w:val="00006502"/>
    <w:rsid w:val="00006CE7"/>
    <w:rsid w:val="00007A08"/>
    <w:rsid w:val="00007B86"/>
    <w:rsid w:val="000105DD"/>
    <w:rsid w:val="00011814"/>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CF2"/>
    <w:rsid w:val="000460D6"/>
    <w:rsid w:val="0004679D"/>
    <w:rsid w:val="00047187"/>
    <w:rsid w:val="00047A18"/>
    <w:rsid w:val="00050271"/>
    <w:rsid w:val="00050B5C"/>
    <w:rsid w:val="00051BF4"/>
    <w:rsid w:val="000520FC"/>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2E05"/>
    <w:rsid w:val="000734B5"/>
    <w:rsid w:val="0007368E"/>
    <w:rsid w:val="00073BF6"/>
    <w:rsid w:val="00074400"/>
    <w:rsid w:val="00075197"/>
    <w:rsid w:val="0007560C"/>
    <w:rsid w:val="00075B7B"/>
    <w:rsid w:val="00075BD2"/>
    <w:rsid w:val="00075C58"/>
    <w:rsid w:val="00075F70"/>
    <w:rsid w:val="0007639E"/>
    <w:rsid w:val="000802A1"/>
    <w:rsid w:val="00083947"/>
    <w:rsid w:val="000850CC"/>
    <w:rsid w:val="00085B0B"/>
    <w:rsid w:val="000866EF"/>
    <w:rsid w:val="000872CF"/>
    <w:rsid w:val="0009024C"/>
    <w:rsid w:val="0009243C"/>
    <w:rsid w:val="000926BE"/>
    <w:rsid w:val="0009342F"/>
    <w:rsid w:val="000943D4"/>
    <w:rsid w:val="0009503A"/>
    <w:rsid w:val="00096813"/>
    <w:rsid w:val="00096A52"/>
    <w:rsid w:val="000A0916"/>
    <w:rsid w:val="000A13A4"/>
    <w:rsid w:val="000A18FA"/>
    <w:rsid w:val="000A2112"/>
    <w:rsid w:val="000A3D02"/>
    <w:rsid w:val="000A41AE"/>
    <w:rsid w:val="000A5137"/>
    <w:rsid w:val="000A58D0"/>
    <w:rsid w:val="000A72B4"/>
    <w:rsid w:val="000A7B5B"/>
    <w:rsid w:val="000A7C2D"/>
    <w:rsid w:val="000B19AB"/>
    <w:rsid w:val="000B3040"/>
    <w:rsid w:val="000B30F1"/>
    <w:rsid w:val="000B3958"/>
    <w:rsid w:val="000B3ED7"/>
    <w:rsid w:val="000B4154"/>
    <w:rsid w:val="000B4964"/>
    <w:rsid w:val="000B5197"/>
    <w:rsid w:val="000B651C"/>
    <w:rsid w:val="000B66DF"/>
    <w:rsid w:val="000B6A45"/>
    <w:rsid w:val="000C0BD2"/>
    <w:rsid w:val="000C24E3"/>
    <w:rsid w:val="000C2A25"/>
    <w:rsid w:val="000C33E0"/>
    <w:rsid w:val="000C3A7D"/>
    <w:rsid w:val="000C432E"/>
    <w:rsid w:val="000C5781"/>
    <w:rsid w:val="000C5E0C"/>
    <w:rsid w:val="000C705A"/>
    <w:rsid w:val="000D15E0"/>
    <w:rsid w:val="000D1657"/>
    <w:rsid w:val="000D1DBB"/>
    <w:rsid w:val="000D24D3"/>
    <w:rsid w:val="000D483B"/>
    <w:rsid w:val="000D48AC"/>
    <w:rsid w:val="000D55F1"/>
    <w:rsid w:val="000D5A63"/>
    <w:rsid w:val="000D5F20"/>
    <w:rsid w:val="000D607B"/>
    <w:rsid w:val="000D6E24"/>
    <w:rsid w:val="000D72B7"/>
    <w:rsid w:val="000D7D01"/>
    <w:rsid w:val="000E0096"/>
    <w:rsid w:val="000E05ED"/>
    <w:rsid w:val="000E0DEB"/>
    <w:rsid w:val="000E1143"/>
    <w:rsid w:val="000E1832"/>
    <w:rsid w:val="000E1D3F"/>
    <w:rsid w:val="000E1E46"/>
    <w:rsid w:val="000E1E94"/>
    <w:rsid w:val="000E2213"/>
    <w:rsid w:val="000E2E0B"/>
    <w:rsid w:val="000E2EBB"/>
    <w:rsid w:val="000E30EA"/>
    <w:rsid w:val="000E3E0B"/>
    <w:rsid w:val="000E3F29"/>
    <w:rsid w:val="000E56C9"/>
    <w:rsid w:val="000E5B99"/>
    <w:rsid w:val="000E5C12"/>
    <w:rsid w:val="000E64AA"/>
    <w:rsid w:val="000E7027"/>
    <w:rsid w:val="000E70B3"/>
    <w:rsid w:val="000F054A"/>
    <w:rsid w:val="000F0BDA"/>
    <w:rsid w:val="000F20DF"/>
    <w:rsid w:val="000F249B"/>
    <w:rsid w:val="000F30B1"/>
    <w:rsid w:val="000F3B25"/>
    <w:rsid w:val="000F3E9C"/>
    <w:rsid w:val="000F4288"/>
    <w:rsid w:val="000F76EC"/>
    <w:rsid w:val="000F78C0"/>
    <w:rsid w:val="000F7D9B"/>
    <w:rsid w:val="001004AB"/>
    <w:rsid w:val="001017D9"/>
    <w:rsid w:val="00102418"/>
    <w:rsid w:val="001033C5"/>
    <w:rsid w:val="00103D02"/>
    <w:rsid w:val="00103D92"/>
    <w:rsid w:val="00105E19"/>
    <w:rsid w:val="001066C0"/>
    <w:rsid w:val="0010682F"/>
    <w:rsid w:val="001068ED"/>
    <w:rsid w:val="001074CF"/>
    <w:rsid w:val="001113AC"/>
    <w:rsid w:val="00111C3E"/>
    <w:rsid w:val="00113180"/>
    <w:rsid w:val="0011411C"/>
    <w:rsid w:val="00114A0D"/>
    <w:rsid w:val="001154B7"/>
    <w:rsid w:val="001158C9"/>
    <w:rsid w:val="00115975"/>
    <w:rsid w:val="00116657"/>
    <w:rsid w:val="00116745"/>
    <w:rsid w:val="00116BEE"/>
    <w:rsid w:val="001175F4"/>
    <w:rsid w:val="0011776B"/>
    <w:rsid w:val="0012116A"/>
    <w:rsid w:val="00121BBD"/>
    <w:rsid w:val="00121E12"/>
    <w:rsid w:val="0012474F"/>
    <w:rsid w:val="0012525E"/>
    <w:rsid w:val="00125E1D"/>
    <w:rsid w:val="00127DA0"/>
    <w:rsid w:val="00131AC1"/>
    <w:rsid w:val="00131BE4"/>
    <w:rsid w:val="00132DCD"/>
    <w:rsid w:val="00132E6B"/>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5B3"/>
    <w:rsid w:val="0014476D"/>
    <w:rsid w:val="0014536A"/>
    <w:rsid w:val="00145B67"/>
    <w:rsid w:val="00145B94"/>
    <w:rsid w:val="0014636D"/>
    <w:rsid w:val="0014665F"/>
    <w:rsid w:val="001467D3"/>
    <w:rsid w:val="00147003"/>
    <w:rsid w:val="0015193B"/>
    <w:rsid w:val="00151AB1"/>
    <w:rsid w:val="00151D97"/>
    <w:rsid w:val="00152411"/>
    <w:rsid w:val="0015383E"/>
    <w:rsid w:val="00153DAC"/>
    <w:rsid w:val="001542AC"/>
    <w:rsid w:val="00154CCB"/>
    <w:rsid w:val="00155A77"/>
    <w:rsid w:val="00156592"/>
    <w:rsid w:val="00156C58"/>
    <w:rsid w:val="00157558"/>
    <w:rsid w:val="001610FB"/>
    <w:rsid w:val="001617F8"/>
    <w:rsid w:val="00161D38"/>
    <w:rsid w:val="001621E5"/>
    <w:rsid w:val="001633F0"/>
    <w:rsid w:val="0016408D"/>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2D0"/>
    <w:rsid w:val="00186B3E"/>
    <w:rsid w:val="001878DF"/>
    <w:rsid w:val="0018793B"/>
    <w:rsid w:val="001907ED"/>
    <w:rsid w:val="00191038"/>
    <w:rsid w:val="00191355"/>
    <w:rsid w:val="0019236C"/>
    <w:rsid w:val="001927EF"/>
    <w:rsid w:val="001928B7"/>
    <w:rsid w:val="00194D3A"/>
    <w:rsid w:val="00195AAD"/>
    <w:rsid w:val="00196B95"/>
    <w:rsid w:val="001A02A8"/>
    <w:rsid w:val="001A0339"/>
    <w:rsid w:val="001A0658"/>
    <w:rsid w:val="001A08AB"/>
    <w:rsid w:val="001A0B53"/>
    <w:rsid w:val="001A1FC1"/>
    <w:rsid w:val="001A2E1D"/>
    <w:rsid w:val="001A2FFC"/>
    <w:rsid w:val="001A60DA"/>
    <w:rsid w:val="001A6437"/>
    <w:rsid w:val="001A75ED"/>
    <w:rsid w:val="001A79CB"/>
    <w:rsid w:val="001A7E39"/>
    <w:rsid w:val="001B0FE7"/>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5A28"/>
    <w:rsid w:val="001E6934"/>
    <w:rsid w:val="001E6B72"/>
    <w:rsid w:val="001F2311"/>
    <w:rsid w:val="001F24E8"/>
    <w:rsid w:val="001F49F9"/>
    <w:rsid w:val="002001D3"/>
    <w:rsid w:val="00200EB4"/>
    <w:rsid w:val="00201B0C"/>
    <w:rsid w:val="00202054"/>
    <w:rsid w:val="002025D8"/>
    <w:rsid w:val="00203CD5"/>
    <w:rsid w:val="00204234"/>
    <w:rsid w:val="002042D6"/>
    <w:rsid w:val="002050EC"/>
    <w:rsid w:val="00205B4F"/>
    <w:rsid w:val="00206916"/>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DAE"/>
    <w:rsid w:val="0023597E"/>
    <w:rsid w:val="00236231"/>
    <w:rsid w:val="00236A1E"/>
    <w:rsid w:val="002373C8"/>
    <w:rsid w:val="00240426"/>
    <w:rsid w:val="002411FA"/>
    <w:rsid w:val="00242F7F"/>
    <w:rsid w:val="00242FE8"/>
    <w:rsid w:val="0024315D"/>
    <w:rsid w:val="0024460F"/>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F7C"/>
    <w:rsid w:val="00264519"/>
    <w:rsid w:val="00264BBF"/>
    <w:rsid w:val="00264EFA"/>
    <w:rsid w:val="00265860"/>
    <w:rsid w:val="00266072"/>
    <w:rsid w:val="0026619D"/>
    <w:rsid w:val="0026668C"/>
    <w:rsid w:val="00267966"/>
    <w:rsid w:val="00270BAE"/>
    <w:rsid w:val="00270D99"/>
    <w:rsid w:val="002711E4"/>
    <w:rsid w:val="00271AD4"/>
    <w:rsid w:val="0027256B"/>
    <w:rsid w:val="002727D0"/>
    <w:rsid w:val="0027396C"/>
    <w:rsid w:val="00274695"/>
    <w:rsid w:val="00275E8E"/>
    <w:rsid w:val="00276A1C"/>
    <w:rsid w:val="00276D75"/>
    <w:rsid w:val="00277283"/>
    <w:rsid w:val="002803C8"/>
    <w:rsid w:val="002810B3"/>
    <w:rsid w:val="00281425"/>
    <w:rsid w:val="002817BD"/>
    <w:rsid w:val="00281D04"/>
    <w:rsid w:val="00281DF7"/>
    <w:rsid w:val="002824D8"/>
    <w:rsid w:val="00282BB1"/>
    <w:rsid w:val="0028387C"/>
    <w:rsid w:val="002855F2"/>
    <w:rsid w:val="0028572A"/>
    <w:rsid w:val="00286468"/>
    <w:rsid w:val="00287028"/>
    <w:rsid w:val="00287240"/>
    <w:rsid w:val="0029028E"/>
    <w:rsid w:val="00290347"/>
    <w:rsid w:val="002904E3"/>
    <w:rsid w:val="00291552"/>
    <w:rsid w:val="00291622"/>
    <w:rsid w:val="002916E7"/>
    <w:rsid w:val="0029197C"/>
    <w:rsid w:val="00292CB0"/>
    <w:rsid w:val="00293073"/>
    <w:rsid w:val="002938C0"/>
    <w:rsid w:val="00293B63"/>
    <w:rsid w:val="0029402A"/>
    <w:rsid w:val="00295046"/>
    <w:rsid w:val="0029539A"/>
    <w:rsid w:val="00295523"/>
    <w:rsid w:val="00296E3E"/>
    <w:rsid w:val="00296FA8"/>
    <w:rsid w:val="002974C5"/>
    <w:rsid w:val="00297CE0"/>
    <w:rsid w:val="00297CE4"/>
    <w:rsid w:val="002A06BF"/>
    <w:rsid w:val="002A11D0"/>
    <w:rsid w:val="002A12CA"/>
    <w:rsid w:val="002A1F45"/>
    <w:rsid w:val="002A27E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2892"/>
    <w:rsid w:val="002C29DE"/>
    <w:rsid w:val="002C319B"/>
    <w:rsid w:val="002C456C"/>
    <w:rsid w:val="002C4762"/>
    <w:rsid w:val="002C4AF3"/>
    <w:rsid w:val="002C4EBD"/>
    <w:rsid w:val="002C4F3E"/>
    <w:rsid w:val="002C54F5"/>
    <w:rsid w:val="002C5DA3"/>
    <w:rsid w:val="002C6505"/>
    <w:rsid w:val="002C6680"/>
    <w:rsid w:val="002C68A9"/>
    <w:rsid w:val="002C6BE7"/>
    <w:rsid w:val="002C6D7D"/>
    <w:rsid w:val="002C706E"/>
    <w:rsid w:val="002C721A"/>
    <w:rsid w:val="002C7DE5"/>
    <w:rsid w:val="002D0F62"/>
    <w:rsid w:val="002D17FF"/>
    <w:rsid w:val="002D3852"/>
    <w:rsid w:val="002D54D1"/>
    <w:rsid w:val="002D54EA"/>
    <w:rsid w:val="002D68C8"/>
    <w:rsid w:val="002D7177"/>
    <w:rsid w:val="002D7550"/>
    <w:rsid w:val="002D76E4"/>
    <w:rsid w:val="002E0283"/>
    <w:rsid w:val="002E1166"/>
    <w:rsid w:val="002E1492"/>
    <w:rsid w:val="002E1DC5"/>
    <w:rsid w:val="002E1EBA"/>
    <w:rsid w:val="002E3D69"/>
    <w:rsid w:val="002E3F95"/>
    <w:rsid w:val="002E4105"/>
    <w:rsid w:val="002E4B18"/>
    <w:rsid w:val="002E507F"/>
    <w:rsid w:val="002E757B"/>
    <w:rsid w:val="002F10B5"/>
    <w:rsid w:val="002F3F48"/>
    <w:rsid w:val="002F41BD"/>
    <w:rsid w:val="002F4BF4"/>
    <w:rsid w:val="002F5060"/>
    <w:rsid w:val="002F5B8E"/>
    <w:rsid w:val="002F6375"/>
    <w:rsid w:val="002F67E6"/>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D05"/>
    <w:rsid w:val="003133A9"/>
    <w:rsid w:val="003140A3"/>
    <w:rsid w:val="003150CD"/>
    <w:rsid w:val="00316C72"/>
    <w:rsid w:val="003170D9"/>
    <w:rsid w:val="003200DD"/>
    <w:rsid w:val="003212F8"/>
    <w:rsid w:val="00322174"/>
    <w:rsid w:val="00322A28"/>
    <w:rsid w:val="00322B9E"/>
    <w:rsid w:val="00323073"/>
    <w:rsid w:val="00323132"/>
    <w:rsid w:val="00323881"/>
    <w:rsid w:val="0032499E"/>
    <w:rsid w:val="0032507C"/>
    <w:rsid w:val="0032559D"/>
    <w:rsid w:val="00326FEE"/>
    <w:rsid w:val="00327365"/>
    <w:rsid w:val="0033088D"/>
    <w:rsid w:val="00330C51"/>
    <w:rsid w:val="00331B79"/>
    <w:rsid w:val="00331F2B"/>
    <w:rsid w:val="00332363"/>
    <w:rsid w:val="00332622"/>
    <w:rsid w:val="003328D4"/>
    <w:rsid w:val="00332C45"/>
    <w:rsid w:val="0033324E"/>
    <w:rsid w:val="00333876"/>
    <w:rsid w:val="00336127"/>
    <w:rsid w:val="0033706F"/>
    <w:rsid w:val="003377D9"/>
    <w:rsid w:val="00337980"/>
    <w:rsid w:val="0034015F"/>
    <w:rsid w:val="00342828"/>
    <w:rsid w:val="00342A6E"/>
    <w:rsid w:val="00342E2A"/>
    <w:rsid w:val="003431F9"/>
    <w:rsid w:val="00344104"/>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1B7C"/>
    <w:rsid w:val="00362B55"/>
    <w:rsid w:val="00362D29"/>
    <w:rsid w:val="00363548"/>
    <w:rsid w:val="003644D2"/>
    <w:rsid w:val="00364572"/>
    <w:rsid w:val="00364F0F"/>
    <w:rsid w:val="003654FE"/>
    <w:rsid w:val="003669BA"/>
    <w:rsid w:val="00366BC0"/>
    <w:rsid w:val="003704BB"/>
    <w:rsid w:val="00370B12"/>
    <w:rsid w:val="00370E45"/>
    <w:rsid w:val="003716F4"/>
    <w:rsid w:val="00374DA3"/>
    <w:rsid w:val="00375538"/>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4DA7"/>
    <w:rsid w:val="003870C3"/>
    <w:rsid w:val="003871FD"/>
    <w:rsid w:val="003908F3"/>
    <w:rsid w:val="00390DEC"/>
    <w:rsid w:val="0039133B"/>
    <w:rsid w:val="00391670"/>
    <w:rsid w:val="00391AF7"/>
    <w:rsid w:val="00391C56"/>
    <w:rsid w:val="00392C45"/>
    <w:rsid w:val="0039334B"/>
    <w:rsid w:val="003945AF"/>
    <w:rsid w:val="00394AF0"/>
    <w:rsid w:val="00395427"/>
    <w:rsid w:val="00396B74"/>
    <w:rsid w:val="00396BBB"/>
    <w:rsid w:val="003976AD"/>
    <w:rsid w:val="003976BF"/>
    <w:rsid w:val="00397C0C"/>
    <w:rsid w:val="003A0DDB"/>
    <w:rsid w:val="003A294A"/>
    <w:rsid w:val="003A336A"/>
    <w:rsid w:val="003A3772"/>
    <w:rsid w:val="003A3976"/>
    <w:rsid w:val="003A430D"/>
    <w:rsid w:val="003A6F8B"/>
    <w:rsid w:val="003B06B2"/>
    <w:rsid w:val="003B0CC2"/>
    <w:rsid w:val="003B19FB"/>
    <w:rsid w:val="003B226D"/>
    <w:rsid w:val="003B24CA"/>
    <w:rsid w:val="003B25E5"/>
    <w:rsid w:val="003B29B0"/>
    <w:rsid w:val="003B2D0F"/>
    <w:rsid w:val="003B4BFE"/>
    <w:rsid w:val="003B54B3"/>
    <w:rsid w:val="003B5A52"/>
    <w:rsid w:val="003B6D6F"/>
    <w:rsid w:val="003B7D2A"/>
    <w:rsid w:val="003C0E92"/>
    <w:rsid w:val="003C0F5D"/>
    <w:rsid w:val="003C11C1"/>
    <w:rsid w:val="003C17D3"/>
    <w:rsid w:val="003C2B67"/>
    <w:rsid w:val="003C2B93"/>
    <w:rsid w:val="003C2C33"/>
    <w:rsid w:val="003C3036"/>
    <w:rsid w:val="003C3EC0"/>
    <w:rsid w:val="003C473C"/>
    <w:rsid w:val="003C78A4"/>
    <w:rsid w:val="003C7CEA"/>
    <w:rsid w:val="003C7D39"/>
    <w:rsid w:val="003D00D7"/>
    <w:rsid w:val="003D034B"/>
    <w:rsid w:val="003D15F6"/>
    <w:rsid w:val="003D31DB"/>
    <w:rsid w:val="003D345F"/>
    <w:rsid w:val="003D382E"/>
    <w:rsid w:val="003D3B37"/>
    <w:rsid w:val="003D4866"/>
    <w:rsid w:val="003E0DB2"/>
    <w:rsid w:val="003E1123"/>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0892"/>
    <w:rsid w:val="0040199D"/>
    <w:rsid w:val="00401BE0"/>
    <w:rsid w:val="0040272A"/>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E54"/>
    <w:rsid w:val="00420F38"/>
    <w:rsid w:val="00421C3C"/>
    <w:rsid w:val="00422B5F"/>
    <w:rsid w:val="00424088"/>
    <w:rsid w:val="00424BAB"/>
    <w:rsid w:val="00425CEB"/>
    <w:rsid w:val="00425DA9"/>
    <w:rsid w:val="00425E09"/>
    <w:rsid w:val="004274F2"/>
    <w:rsid w:val="004302C0"/>
    <w:rsid w:val="00430994"/>
    <w:rsid w:val="00430E65"/>
    <w:rsid w:val="00431868"/>
    <w:rsid w:val="0043186B"/>
    <w:rsid w:val="00431872"/>
    <w:rsid w:val="0043256A"/>
    <w:rsid w:val="0043312C"/>
    <w:rsid w:val="00434A01"/>
    <w:rsid w:val="00434E5E"/>
    <w:rsid w:val="00435BE9"/>
    <w:rsid w:val="00436B09"/>
    <w:rsid w:val="004379A7"/>
    <w:rsid w:val="004402DC"/>
    <w:rsid w:val="0044067C"/>
    <w:rsid w:val="00443175"/>
    <w:rsid w:val="00443202"/>
    <w:rsid w:val="0044343C"/>
    <w:rsid w:val="0044412C"/>
    <w:rsid w:val="00444C5A"/>
    <w:rsid w:val="004463F8"/>
    <w:rsid w:val="00447008"/>
    <w:rsid w:val="0044739D"/>
    <w:rsid w:val="0044742E"/>
    <w:rsid w:val="0044745D"/>
    <w:rsid w:val="00450C92"/>
    <w:rsid w:val="004512B7"/>
    <w:rsid w:val="0045257E"/>
    <w:rsid w:val="00452D10"/>
    <w:rsid w:val="00452ED0"/>
    <w:rsid w:val="0045347D"/>
    <w:rsid w:val="0045525A"/>
    <w:rsid w:val="00455308"/>
    <w:rsid w:val="004567E8"/>
    <w:rsid w:val="00456C24"/>
    <w:rsid w:val="00460585"/>
    <w:rsid w:val="00460C95"/>
    <w:rsid w:val="00462543"/>
    <w:rsid w:val="00463004"/>
    <w:rsid w:val="00463650"/>
    <w:rsid w:val="00463BB6"/>
    <w:rsid w:val="00463F12"/>
    <w:rsid w:val="00464475"/>
    <w:rsid w:val="0046575E"/>
    <w:rsid w:val="00466F94"/>
    <w:rsid w:val="00470735"/>
    <w:rsid w:val="00471FB4"/>
    <w:rsid w:val="00475522"/>
    <w:rsid w:val="00475B3C"/>
    <w:rsid w:val="00481314"/>
    <w:rsid w:val="004827E7"/>
    <w:rsid w:val="004830ED"/>
    <w:rsid w:val="004836CC"/>
    <w:rsid w:val="004836ED"/>
    <w:rsid w:val="00484A42"/>
    <w:rsid w:val="00484FC0"/>
    <w:rsid w:val="00485035"/>
    <w:rsid w:val="004854D9"/>
    <w:rsid w:val="004856F6"/>
    <w:rsid w:val="00486122"/>
    <w:rsid w:val="00491D25"/>
    <w:rsid w:val="004922E5"/>
    <w:rsid w:val="00492610"/>
    <w:rsid w:val="0049262E"/>
    <w:rsid w:val="004927B5"/>
    <w:rsid w:val="00493CCD"/>
    <w:rsid w:val="00494D79"/>
    <w:rsid w:val="004951AC"/>
    <w:rsid w:val="004959F5"/>
    <w:rsid w:val="00496EDD"/>
    <w:rsid w:val="0049702B"/>
    <w:rsid w:val="004A0AB4"/>
    <w:rsid w:val="004A0C49"/>
    <w:rsid w:val="004A0E36"/>
    <w:rsid w:val="004A20DE"/>
    <w:rsid w:val="004A22E8"/>
    <w:rsid w:val="004A23AA"/>
    <w:rsid w:val="004A3F26"/>
    <w:rsid w:val="004A3F6B"/>
    <w:rsid w:val="004A4FAA"/>
    <w:rsid w:val="004A6CF0"/>
    <w:rsid w:val="004A7416"/>
    <w:rsid w:val="004B08D4"/>
    <w:rsid w:val="004B10C3"/>
    <w:rsid w:val="004B15ED"/>
    <w:rsid w:val="004B19F2"/>
    <w:rsid w:val="004B1BE5"/>
    <w:rsid w:val="004B1C25"/>
    <w:rsid w:val="004B2E05"/>
    <w:rsid w:val="004B465A"/>
    <w:rsid w:val="004B4BCA"/>
    <w:rsid w:val="004B5437"/>
    <w:rsid w:val="004B5A87"/>
    <w:rsid w:val="004B629E"/>
    <w:rsid w:val="004B7D91"/>
    <w:rsid w:val="004C0772"/>
    <w:rsid w:val="004C1A88"/>
    <w:rsid w:val="004C3041"/>
    <w:rsid w:val="004C307D"/>
    <w:rsid w:val="004C39F2"/>
    <w:rsid w:val="004C4CC8"/>
    <w:rsid w:val="004C65D1"/>
    <w:rsid w:val="004D0264"/>
    <w:rsid w:val="004D0626"/>
    <w:rsid w:val="004D0E89"/>
    <w:rsid w:val="004D1FEC"/>
    <w:rsid w:val="004D21E5"/>
    <w:rsid w:val="004D25C6"/>
    <w:rsid w:val="004D35DD"/>
    <w:rsid w:val="004D6E60"/>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6040"/>
    <w:rsid w:val="004E6DC2"/>
    <w:rsid w:val="004E720A"/>
    <w:rsid w:val="004F056B"/>
    <w:rsid w:val="004F10C2"/>
    <w:rsid w:val="004F17DB"/>
    <w:rsid w:val="004F27C1"/>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E8"/>
    <w:rsid w:val="005062CB"/>
    <w:rsid w:val="005066FB"/>
    <w:rsid w:val="0050717F"/>
    <w:rsid w:val="00510891"/>
    <w:rsid w:val="00510B75"/>
    <w:rsid w:val="005121C0"/>
    <w:rsid w:val="00512919"/>
    <w:rsid w:val="00512BDF"/>
    <w:rsid w:val="00513BA4"/>
    <w:rsid w:val="00515F57"/>
    <w:rsid w:val="005174AC"/>
    <w:rsid w:val="00517728"/>
    <w:rsid w:val="00520198"/>
    <w:rsid w:val="00520539"/>
    <w:rsid w:val="00520A40"/>
    <w:rsid w:val="00521B19"/>
    <w:rsid w:val="005220B5"/>
    <w:rsid w:val="00522C98"/>
    <w:rsid w:val="00526128"/>
    <w:rsid w:val="00526275"/>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306B"/>
    <w:rsid w:val="00543961"/>
    <w:rsid w:val="00544864"/>
    <w:rsid w:val="005450F6"/>
    <w:rsid w:val="00545633"/>
    <w:rsid w:val="00546E93"/>
    <w:rsid w:val="00550199"/>
    <w:rsid w:val="005504CC"/>
    <w:rsid w:val="005517A3"/>
    <w:rsid w:val="0055206B"/>
    <w:rsid w:val="00552398"/>
    <w:rsid w:val="00552586"/>
    <w:rsid w:val="0055320A"/>
    <w:rsid w:val="005535A6"/>
    <w:rsid w:val="005556C2"/>
    <w:rsid w:val="00555F36"/>
    <w:rsid w:val="005560BB"/>
    <w:rsid w:val="005561D5"/>
    <w:rsid w:val="005573BF"/>
    <w:rsid w:val="005576F9"/>
    <w:rsid w:val="00557903"/>
    <w:rsid w:val="00557BDE"/>
    <w:rsid w:val="0056066B"/>
    <w:rsid w:val="005607F1"/>
    <w:rsid w:val="005610C0"/>
    <w:rsid w:val="005614A1"/>
    <w:rsid w:val="00561C46"/>
    <w:rsid w:val="005621D2"/>
    <w:rsid w:val="0056364C"/>
    <w:rsid w:val="00563833"/>
    <w:rsid w:val="00563903"/>
    <w:rsid w:val="00564740"/>
    <w:rsid w:val="00564C40"/>
    <w:rsid w:val="00564C52"/>
    <w:rsid w:val="00565E0F"/>
    <w:rsid w:val="00565ECD"/>
    <w:rsid w:val="00566DEF"/>
    <w:rsid w:val="005674BD"/>
    <w:rsid w:val="0056799E"/>
    <w:rsid w:val="00567B15"/>
    <w:rsid w:val="00567DD8"/>
    <w:rsid w:val="00571100"/>
    <w:rsid w:val="005713C8"/>
    <w:rsid w:val="005743D3"/>
    <w:rsid w:val="00574C88"/>
    <w:rsid w:val="00574E16"/>
    <w:rsid w:val="005750CB"/>
    <w:rsid w:val="00575F19"/>
    <w:rsid w:val="00575F35"/>
    <w:rsid w:val="0057756D"/>
    <w:rsid w:val="005776BF"/>
    <w:rsid w:val="00577710"/>
    <w:rsid w:val="00580773"/>
    <w:rsid w:val="00581B40"/>
    <w:rsid w:val="005863ED"/>
    <w:rsid w:val="0058674E"/>
    <w:rsid w:val="00587B5F"/>
    <w:rsid w:val="00591369"/>
    <w:rsid w:val="00591DFC"/>
    <w:rsid w:val="0059375B"/>
    <w:rsid w:val="00593DA5"/>
    <w:rsid w:val="00593DB2"/>
    <w:rsid w:val="00595E25"/>
    <w:rsid w:val="00596D9F"/>
    <w:rsid w:val="00597314"/>
    <w:rsid w:val="005A274E"/>
    <w:rsid w:val="005A3D1D"/>
    <w:rsid w:val="005A483A"/>
    <w:rsid w:val="005A4887"/>
    <w:rsid w:val="005A520A"/>
    <w:rsid w:val="005A7EF5"/>
    <w:rsid w:val="005B014D"/>
    <w:rsid w:val="005B01EC"/>
    <w:rsid w:val="005B097A"/>
    <w:rsid w:val="005B0DA1"/>
    <w:rsid w:val="005B13D2"/>
    <w:rsid w:val="005B2E67"/>
    <w:rsid w:val="005B301B"/>
    <w:rsid w:val="005B313A"/>
    <w:rsid w:val="005B35FF"/>
    <w:rsid w:val="005B3BBB"/>
    <w:rsid w:val="005B3E42"/>
    <w:rsid w:val="005B4B09"/>
    <w:rsid w:val="005B554D"/>
    <w:rsid w:val="005B7FDA"/>
    <w:rsid w:val="005C0616"/>
    <w:rsid w:val="005C15E1"/>
    <w:rsid w:val="005C1FB4"/>
    <w:rsid w:val="005C24BB"/>
    <w:rsid w:val="005C2888"/>
    <w:rsid w:val="005C378B"/>
    <w:rsid w:val="005C475C"/>
    <w:rsid w:val="005C59BD"/>
    <w:rsid w:val="005C72B4"/>
    <w:rsid w:val="005C7768"/>
    <w:rsid w:val="005C7E6A"/>
    <w:rsid w:val="005D0F20"/>
    <w:rsid w:val="005D1267"/>
    <w:rsid w:val="005D13AA"/>
    <w:rsid w:val="005D1D86"/>
    <w:rsid w:val="005D290E"/>
    <w:rsid w:val="005D3E45"/>
    <w:rsid w:val="005D4407"/>
    <w:rsid w:val="005D4E5F"/>
    <w:rsid w:val="005D4F74"/>
    <w:rsid w:val="005D5448"/>
    <w:rsid w:val="005D6987"/>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695F"/>
    <w:rsid w:val="005E6E4F"/>
    <w:rsid w:val="005F090A"/>
    <w:rsid w:val="005F19A3"/>
    <w:rsid w:val="005F26D5"/>
    <w:rsid w:val="005F400B"/>
    <w:rsid w:val="005F49DE"/>
    <w:rsid w:val="005F598E"/>
    <w:rsid w:val="005F774C"/>
    <w:rsid w:val="005F7984"/>
    <w:rsid w:val="00600D97"/>
    <w:rsid w:val="0060487E"/>
    <w:rsid w:val="006064D9"/>
    <w:rsid w:val="00606E3D"/>
    <w:rsid w:val="006075A6"/>
    <w:rsid w:val="00607715"/>
    <w:rsid w:val="006078D7"/>
    <w:rsid w:val="006102DE"/>
    <w:rsid w:val="006106E5"/>
    <w:rsid w:val="006109DC"/>
    <w:rsid w:val="00611656"/>
    <w:rsid w:val="006134C5"/>
    <w:rsid w:val="0061406A"/>
    <w:rsid w:val="0061763D"/>
    <w:rsid w:val="00620053"/>
    <w:rsid w:val="00620B39"/>
    <w:rsid w:val="00621C0B"/>
    <w:rsid w:val="0062225D"/>
    <w:rsid w:val="00622A08"/>
    <w:rsid w:val="00622E19"/>
    <w:rsid w:val="00622EDD"/>
    <w:rsid w:val="00623337"/>
    <w:rsid w:val="00623726"/>
    <w:rsid w:val="00623B2F"/>
    <w:rsid w:val="006247F7"/>
    <w:rsid w:val="00624B33"/>
    <w:rsid w:val="006253F4"/>
    <w:rsid w:val="00625F3C"/>
    <w:rsid w:val="006300D9"/>
    <w:rsid w:val="00630921"/>
    <w:rsid w:val="00630F8B"/>
    <w:rsid w:val="00632598"/>
    <w:rsid w:val="0063278D"/>
    <w:rsid w:val="006329C1"/>
    <w:rsid w:val="00633F4B"/>
    <w:rsid w:val="006345C5"/>
    <w:rsid w:val="00634601"/>
    <w:rsid w:val="00634F50"/>
    <w:rsid w:val="00637F51"/>
    <w:rsid w:val="00640BE8"/>
    <w:rsid w:val="00640EB7"/>
    <w:rsid w:val="00640FDD"/>
    <w:rsid w:val="006421ED"/>
    <w:rsid w:val="00642C33"/>
    <w:rsid w:val="00643BB1"/>
    <w:rsid w:val="00643C4E"/>
    <w:rsid w:val="006446F5"/>
    <w:rsid w:val="00644947"/>
    <w:rsid w:val="00645234"/>
    <w:rsid w:val="00645710"/>
    <w:rsid w:val="00646538"/>
    <w:rsid w:val="00646CC0"/>
    <w:rsid w:val="00650B79"/>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57D0"/>
    <w:rsid w:val="00677281"/>
    <w:rsid w:val="00677397"/>
    <w:rsid w:val="00677C57"/>
    <w:rsid w:val="00680339"/>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5274"/>
    <w:rsid w:val="006962EE"/>
    <w:rsid w:val="00697547"/>
    <w:rsid w:val="006A167E"/>
    <w:rsid w:val="006A3464"/>
    <w:rsid w:val="006A49E5"/>
    <w:rsid w:val="006A4D2E"/>
    <w:rsid w:val="006A52F0"/>
    <w:rsid w:val="006A6288"/>
    <w:rsid w:val="006A682C"/>
    <w:rsid w:val="006A7FDF"/>
    <w:rsid w:val="006B2C76"/>
    <w:rsid w:val="006B384B"/>
    <w:rsid w:val="006B47CA"/>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D0D9C"/>
    <w:rsid w:val="006D1B5B"/>
    <w:rsid w:val="006D22BA"/>
    <w:rsid w:val="006D2574"/>
    <w:rsid w:val="006D340E"/>
    <w:rsid w:val="006D3C64"/>
    <w:rsid w:val="006D3FD9"/>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3CC"/>
    <w:rsid w:val="006E64FF"/>
    <w:rsid w:val="006E6752"/>
    <w:rsid w:val="006E7448"/>
    <w:rsid w:val="006E7571"/>
    <w:rsid w:val="006E7C37"/>
    <w:rsid w:val="006F0FFA"/>
    <w:rsid w:val="006F1FD1"/>
    <w:rsid w:val="006F2749"/>
    <w:rsid w:val="006F2F77"/>
    <w:rsid w:val="006F3D3D"/>
    <w:rsid w:val="006F4547"/>
    <w:rsid w:val="006F4B31"/>
    <w:rsid w:val="006F5465"/>
    <w:rsid w:val="006F55A5"/>
    <w:rsid w:val="006F5724"/>
    <w:rsid w:val="006F6228"/>
    <w:rsid w:val="006F6FD9"/>
    <w:rsid w:val="006F78AF"/>
    <w:rsid w:val="006F79F9"/>
    <w:rsid w:val="0070059E"/>
    <w:rsid w:val="00700909"/>
    <w:rsid w:val="00701979"/>
    <w:rsid w:val="007019C3"/>
    <w:rsid w:val="0070214A"/>
    <w:rsid w:val="00702DA7"/>
    <w:rsid w:val="00702EDA"/>
    <w:rsid w:val="00703023"/>
    <w:rsid w:val="00704E29"/>
    <w:rsid w:val="00705499"/>
    <w:rsid w:val="007054DA"/>
    <w:rsid w:val="007057FD"/>
    <w:rsid w:val="00706884"/>
    <w:rsid w:val="0070743B"/>
    <w:rsid w:val="00707C32"/>
    <w:rsid w:val="0071047F"/>
    <w:rsid w:val="007109AC"/>
    <w:rsid w:val="00710A60"/>
    <w:rsid w:val="007115B2"/>
    <w:rsid w:val="00712251"/>
    <w:rsid w:val="00713BC8"/>
    <w:rsid w:val="00714D84"/>
    <w:rsid w:val="00714FE0"/>
    <w:rsid w:val="007172B4"/>
    <w:rsid w:val="00717586"/>
    <w:rsid w:val="007227B2"/>
    <w:rsid w:val="00722939"/>
    <w:rsid w:val="007234F5"/>
    <w:rsid w:val="0072385B"/>
    <w:rsid w:val="00724F98"/>
    <w:rsid w:val="00726D53"/>
    <w:rsid w:val="00727D74"/>
    <w:rsid w:val="00727EF8"/>
    <w:rsid w:val="00730241"/>
    <w:rsid w:val="007307E5"/>
    <w:rsid w:val="00731E4F"/>
    <w:rsid w:val="0073200B"/>
    <w:rsid w:val="00732A2F"/>
    <w:rsid w:val="00732FF2"/>
    <w:rsid w:val="0073355B"/>
    <w:rsid w:val="007338E2"/>
    <w:rsid w:val="00734551"/>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3E3"/>
    <w:rsid w:val="0075128B"/>
    <w:rsid w:val="0075298D"/>
    <w:rsid w:val="00753ED6"/>
    <w:rsid w:val="00753F25"/>
    <w:rsid w:val="00754D7B"/>
    <w:rsid w:val="00756BD7"/>
    <w:rsid w:val="0075715A"/>
    <w:rsid w:val="00757F3C"/>
    <w:rsid w:val="00760E40"/>
    <w:rsid w:val="007613C9"/>
    <w:rsid w:val="00761678"/>
    <w:rsid w:val="007620A2"/>
    <w:rsid w:val="007637AC"/>
    <w:rsid w:val="00763F8A"/>
    <w:rsid w:val="00764B7E"/>
    <w:rsid w:val="0076632C"/>
    <w:rsid w:val="00766C0E"/>
    <w:rsid w:val="00766CBB"/>
    <w:rsid w:val="00766E52"/>
    <w:rsid w:val="00770932"/>
    <w:rsid w:val="00770949"/>
    <w:rsid w:val="00770BE3"/>
    <w:rsid w:val="007713E1"/>
    <w:rsid w:val="0077273B"/>
    <w:rsid w:val="00773DA9"/>
    <w:rsid w:val="0077487D"/>
    <w:rsid w:val="00775764"/>
    <w:rsid w:val="00776327"/>
    <w:rsid w:val="00776C8B"/>
    <w:rsid w:val="00777C4A"/>
    <w:rsid w:val="00780B44"/>
    <w:rsid w:val="00781823"/>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EDA"/>
    <w:rsid w:val="007951E4"/>
    <w:rsid w:val="00796C0A"/>
    <w:rsid w:val="00796D59"/>
    <w:rsid w:val="0079745C"/>
    <w:rsid w:val="00797865"/>
    <w:rsid w:val="00797B00"/>
    <w:rsid w:val="007A15D3"/>
    <w:rsid w:val="007A1B38"/>
    <w:rsid w:val="007A52C9"/>
    <w:rsid w:val="007A535A"/>
    <w:rsid w:val="007A5E93"/>
    <w:rsid w:val="007A722E"/>
    <w:rsid w:val="007B0646"/>
    <w:rsid w:val="007B1790"/>
    <w:rsid w:val="007B1825"/>
    <w:rsid w:val="007B1B35"/>
    <w:rsid w:val="007B1FC1"/>
    <w:rsid w:val="007B35CE"/>
    <w:rsid w:val="007B373B"/>
    <w:rsid w:val="007B3AF0"/>
    <w:rsid w:val="007B4301"/>
    <w:rsid w:val="007B565E"/>
    <w:rsid w:val="007B6131"/>
    <w:rsid w:val="007B67E7"/>
    <w:rsid w:val="007B7226"/>
    <w:rsid w:val="007B726D"/>
    <w:rsid w:val="007B7665"/>
    <w:rsid w:val="007B77EF"/>
    <w:rsid w:val="007B7935"/>
    <w:rsid w:val="007C0398"/>
    <w:rsid w:val="007C0490"/>
    <w:rsid w:val="007C2523"/>
    <w:rsid w:val="007C2660"/>
    <w:rsid w:val="007C320C"/>
    <w:rsid w:val="007C3F1A"/>
    <w:rsid w:val="007C4F8D"/>
    <w:rsid w:val="007C54AA"/>
    <w:rsid w:val="007C587E"/>
    <w:rsid w:val="007C6323"/>
    <w:rsid w:val="007C669D"/>
    <w:rsid w:val="007C7225"/>
    <w:rsid w:val="007C79BA"/>
    <w:rsid w:val="007D158F"/>
    <w:rsid w:val="007D18AB"/>
    <w:rsid w:val="007D281F"/>
    <w:rsid w:val="007D3366"/>
    <w:rsid w:val="007D3882"/>
    <w:rsid w:val="007D38EE"/>
    <w:rsid w:val="007D4351"/>
    <w:rsid w:val="007D4B01"/>
    <w:rsid w:val="007D649E"/>
    <w:rsid w:val="007D7A0E"/>
    <w:rsid w:val="007D7C91"/>
    <w:rsid w:val="007D7D93"/>
    <w:rsid w:val="007E0C90"/>
    <w:rsid w:val="007E0D7C"/>
    <w:rsid w:val="007E1296"/>
    <w:rsid w:val="007E2A2B"/>
    <w:rsid w:val="007E3BCA"/>
    <w:rsid w:val="007E569F"/>
    <w:rsid w:val="007E5980"/>
    <w:rsid w:val="007E5BC9"/>
    <w:rsid w:val="007E6051"/>
    <w:rsid w:val="007E620A"/>
    <w:rsid w:val="007E63D7"/>
    <w:rsid w:val="007F1A6D"/>
    <w:rsid w:val="007F2989"/>
    <w:rsid w:val="007F2E50"/>
    <w:rsid w:val="007F515D"/>
    <w:rsid w:val="007F6243"/>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109BC"/>
    <w:rsid w:val="008113DD"/>
    <w:rsid w:val="00811BEA"/>
    <w:rsid w:val="008155EB"/>
    <w:rsid w:val="00815965"/>
    <w:rsid w:val="00815995"/>
    <w:rsid w:val="00816724"/>
    <w:rsid w:val="00816AD9"/>
    <w:rsid w:val="0081781D"/>
    <w:rsid w:val="008213BF"/>
    <w:rsid w:val="00821492"/>
    <w:rsid w:val="00822F55"/>
    <w:rsid w:val="00823E6A"/>
    <w:rsid w:val="0082450D"/>
    <w:rsid w:val="00824E12"/>
    <w:rsid w:val="00826C12"/>
    <w:rsid w:val="00827AD0"/>
    <w:rsid w:val="008305C8"/>
    <w:rsid w:val="008316FA"/>
    <w:rsid w:val="00832A07"/>
    <w:rsid w:val="00832DD9"/>
    <w:rsid w:val="00835593"/>
    <w:rsid w:val="00835E59"/>
    <w:rsid w:val="008360A3"/>
    <w:rsid w:val="00836348"/>
    <w:rsid w:val="00836B92"/>
    <w:rsid w:val="008415E2"/>
    <w:rsid w:val="0084169C"/>
    <w:rsid w:val="0084230A"/>
    <w:rsid w:val="008438EA"/>
    <w:rsid w:val="00843C81"/>
    <w:rsid w:val="00844C98"/>
    <w:rsid w:val="00845576"/>
    <w:rsid w:val="00845839"/>
    <w:rsid w:val="00845E1E"/>
    <w:rsid w:val="00846579"/>
    <w:rsid w:val="00847375"/>
    <w:rsid w:val="00847EF3"/>
    <w:rsid w:val="00850212"/>
    <w:rsid w:val="008504C8"/>
    <w:rsid w:val="0085077B"/>
    <w:rsid w:val="008508B1"/>
    <w:rsid w:val="00850943"/>
    <w:rsid w:val="00852029"/>
    <w:rsid w:val="00852604"/>
    <w:rsid w:val="00852C59"/>
    <w:rsid w:val="008548C9"/>
    <w:rsid w:val="00855E10"/>
    <w:rsid w:val="00856856"/>
    <w:rsid w:val="00856911"/>
    <w:rsid w:val="00856C46"/>
    <w:rsid w:val="00857A14"/>
    <w:rsid w:val="00860463"/>
    <w:rsid w:val="00860B28"/>
    <w:rsid w:val="00861C01"/>
    <w:rsid w:val="008620A7"/>
    <w:rsid w:val="00862CD9"/>
    <w:rsid w:val="0086541A"/>
    <w:rsid w:val="0086666D"/>
    <w:rsid w:val="0086680F"/>
    <w:rsid w:val="00866E37"/>
    <w:rsid w:val="0086701D"/>
    <w:rsid w:val="00870224"/>
    <w:rsid w:val="00871577"/>
    <w:rsid w:val="008716B7"/>
    <w:rsid w:val="00871E0E"/>
    <w:rsid w:val="008727EE"/>
    <w:rsid w:val="00874D9B"/>
    <w:rsid w:val="00875611"/>
    <w:rsid w:val="008764E0"/>
    <w:rsid w:val="0088092B"/>
    <w:rsid w:val="00881023"/>
    <w:rsid w:val="00883C21"/>
    <w:rsid w:val="00885716"/>
    <w:rsid w:val="008859EC"/>
    <w:rsid w:val="00886263"/>
    <w:rsid w:val="008868CC"/>
    <w:rsid w:val="00891A4F"/>
    <w:rsid w:val="00892013"/>
    <w:rsid w:val="008923E2"/>
    <w:rsid w:val="00893C52"/>
    <w:rsid w:val="008941EC"/>
    <w:rsid w:val="0089422A"/>
    <w:rsid w:val="008942A9"/>
    <w:rsid w:val="00894DEC"/>
    <w:rsid w:val="0089507B"/>
    <w:rsid w:val="008958AC"/>
    <w:rsid w:val="00895BA6"/>
    <w:rsid w:val="008963CD"/>
    <w:rsid w:val="0089789C"/>
    <w:rsid w:val="00897C81"/>
    <w:rsid w:val="008A166F"/>
    <w:rsid w:val="008A196D"/>
    <w:rsid w:val="008A2A74"/>
    <w:rsid w:val="008A3FC8"/>
    <w:rsid w:val="008A401C"/>
    <w:rsid w:val="008A4D78"/>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AE4"/>
    <w:rsid w:val="008C1DDD"/>
    <w:rsid w:val="008C34E5"/>
    <w:rsid w:val="008C4D4E"/>
    <w:rsid w:val="008C5B87"/>
    <w:rsid w:val="008C6886"/>
    <w:rsid w:val="008C6DB4"/>
    <w:rsid w:val="008C7987"/>
    <w:rsid w:val="008D007B"/>
    <w:rsid w:val="008D0352"/>
    <w:rsid w:val="008D0500"/>
    <w:rsid w:val="008D0765"/>
    <w:rsid w:val="008D2789"/>
    <w:rsid w:val="008D2F0C"/>
    <w:rsid w:val="008D3C19"/>
    <w:rsid w:val="008D551F"/>
    <w:rsid w:val="008D552E"/>
    <w:rsid w:val="008D7098"/>
    <w:rsid w:val="008E0441"/>
    <w:rsid w:val="008E0D5B"/>
    <w:rsid w:val="008E145A"/>
    <w:rsid w:val="008E1534"/>
    <w:rsid w:val="008E1915"/>
    <w:rsid w:val="008E2C8E"/>
    <w:rsid w:val="008E35F3"/>
    <w:rsid w:val="008E3763"/>
    <w:rsid w:val="008E4CAC"/>
    <w:rsid w:val="008E5218"/>
    <w:rsid w:val="008E60DD"/>
    <w:rsid w:val="008F0636"/>
    <w:rsid w:val="008F0734"/>
    <w:rsid w:val="008F13E9"/>
    <w:rsid w:val="008F1935"/>
    <w:rsid w:val="008F1F0C"/>
    <w:rsid w:val="008F22CD"/>
    <w:rsid w:val="008F245E"/>
    <w:rsid w:val="008F2CFE"/>
    <w:rsid w:val="008F4066"/>
    <w:rsid w:val="008F4373"/>
    <w:rsid w:val="008F4611"/>
    <w:rsid w:val="008F478F"/>
    <w:rsid w:val="008F597F"/>
    <w:rsid w:val="008F5C27"/>
    <w:rsid w:val="008F72E2"/>
    <w:rsid w:val="008F7E3B"/>
    <w:rsid w:val="0090021D"/>
    <w:rsid w:val="00901701"/>
    <w:rsid w:val="00901DD9"/>
    <w:rsid w:val="0090234D"/>
    <w:rsid w:val="00902BA4"/>
    <w:rsid w:val="00902BF3"/>
    <w:rsid w:val="00902EEE"/>
    <w:rsid w:val="00902F98"/>
    <w:rsid w:val="0090384C"/>
    <w:rsid w:val="00903D32"/>
    <w:rsid w:val="00905C09"/>
    <w:rsid w:val="00906040"/>
    <w:rsid w:val="00907382"/>
    <w:rsid w:val="0090797B"/>
    <w:rsid w:val="00907CE5"/>
    <w:rsid w:val="00907F4F"/>
    <w:rsid w:val="009101D5"/>
    <w:rsid w:val="009101FF"/>
    <w:rsid w:val="00910764"/>
    <w:rsid w:val="00910EA1"/>
    <w:rsid w:val="00910FB2"/>
    <w:rsid w:val="00911C7E"/>
    <w:rsid w:val="0091216F"/>
    <w:rsid w:val="00913AC6"/>
    <w:rsid w:val="00913C91"/>
    <w:rsid w:val="00914B76"/>
    <w:rsid w:val="0091512F"/>
    <w:rsid w:val="00915E36"/>
    <w:rsid w:val="009175B1"/>
    <w:rsid w:val="00917F97"/>
    <w:rsid w:val="0092042B"/>
    <w:rsid w:val="00920A42"/>
    <w:rsid w:val="009210CD"/>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913"/>
    <w:rsid w:val="00933E13"/>
    <w:rsid w:val="00934465"/>
    <w:rsid w:val="00935AFC"/>
    <w:rsid w:val="0094015A"/>
    <w:rsid w:val="00940A5D"/>
    <w:rsid w:val="00940AD1"/>
    <w:rsid w:val="0094117E"/>
    <w:rsid w:val="0094300E"/>
    <w:rsid w:val="0094316D"/>
    <w:rsid w:val="00945B09"/>
    <w:rsid w:val="009470E3"/>
    <w:rsid w:val="009472C0"/>
    <w:rsid w:val="00947C04"/>
    <w:rsid w:val="00947DB7"/>
    <w:rsid w:val="0095017A"/>
    <w:rsid w:val="0095018A"/>
    <w:rsid w:val="00950649"/>
    <w:rsid w:val="00952001"/>
    <w:rsid w:val="009525B4"/>
    <w:rsid w:val="00953F10"/>
    <w:rsid w:val="00954083"/>
    <w:rsid w:val="009543D9"/>
    <w:rsid w:val="00954AEF"/>
    <w:rsid w:val="0095706B"/>
    <w:rsid w:val="009571D6"/>
    <w:rsid w:val="0095743D"/>
    <w:rsid w:val="009576A3"/>
    <w:rsid w:val="00957BC3"/>
    <w:rsid w:val="009606DD"/>
    <w:rsid w:val="009614FB"/>
    <w:rsid w:val="00961B37"/>
    <w:rsid w:val="00962737"/>
    <w:rsid w:val="00962A49"/>
    <w:rsid w:val="00962E62"/>
    <w:rsid w:val="00962F46"/>
    <w:rsid w:val="00963025"/>
    <w:rsid w:val="00963826"/>
    <w:rsid w:val="00963B35"/>
    <w:rsid w:val="00964638"/>
    <w:rsid w:val="00964A0F"/>
    <w:rsid w:val="00965E84"/>
    <w:rsid w:val="00966030"/>
    <w:rsid w:val="00966148"/>
    <w:rsid w:val="00966C56"/>
    <w:rsid w:val="00966FEE"/>
    <w:rsid w:val="00967C71"/>
    <w:rsid w:val="00970D4A"/>
    <w:rsid w:val="00972C09"/>
    <w:rsid w:val="009758BF"/>
    <w:rsid w:val="0097610D"/>
    <w:rsid w:val="00980024"/>
    <w:rsid w:val="00980108"/>
    <w:rsid w:val="00980169"/>
    <w:rsid w:val="009817D0"/>
    <w:rsid w:val="009831E5"/>
    <w:rsid w:val="009832CA"/>
    <w:rsid w:val="009833AB"/>
    <w:rsid w:val="0098366A"/>
    <w:rsid w:val="00983890"/>
    <w:rsid w:val="00984D5A"/>
    <w:rsid w:val="0098584D"/>
    <w:rsid w:val="009863F3"/>
    <w:rsid w:val="00987286"/>
    <w:rsid w:val="00987B7F"/>
    <w:rsid w:val="00990D08"/>
    <w:rsid w:val="00991223"/>
    <w:rsid w:val="00992480"/>
    <w:rsid w:val="0099420A"/>
    <w:rsid w:val="00994874"/>
    <w:rsid w:val="0099489F"/>
    <w:rsid w:val="009A04D2"/>
    <w:rsid w:val="009A0797"/>
    <w:rsid w:val="009A1139"/>
    <w:rsid w:val="009A1215"/>
    <w:rsid w:val="009A1AD8"/>
    <w:rsid w:val="009A1B5F"/>
    <w:rsid w:val="009A253C"/>
    <w:rsid w:val="009A2719"/>
    <w:rsid w:val="009A3616"/>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6FAC"/>
    <w:rsid w:val="009C0723"/>
    <w:rsid w:val="009C14FC"/>
    <w:rsid w:val="009C3720"/>
    <w:rsid w:val="009C4D30"/>
    <w:rsid w:val="009C539F"/>
    <w:rsid w:val="009C5491"/>
    <w:rsid w:val="009C5CB1"/>
    <w:rsid w:val="009C62FB"/>
    <w:rsid w:val="009C686E"/>
    <w:rsid w:val="009C6988"/>
    <w:rsid w:val="009C787F"/>
    <w:rsid w:val="009C7AB5"/>
    <w:rsid w:val="009D1011"/>
    <w:rsid w:val="009D14A7"/>
    <w:rsid w:val="009D2327"/>
    <w:rsid w:val="009D25B0"/>
    <w:rsid w:val="009D369F"/>
    <w:rsid w:val="009D42CB"/>
    <w:rsid w:val="009D4AAF"/>
    <w:rsid w:val="009D4D85"/>
    <w:rsid w:val="009D514F"/>
    <w:rsid w:val="009D66DD"/>
    <w:rsid w:val="009D6798"/>
    <w:rsid w:val="009D76ED"/>
    <w:rsid w:val="009E138E"/>
    <w:rsid w:val="009E1B66"/>
    <w:rsid w:val="009E2758"/>
    <w:rsid w:val="009E33AB"/>
    <w:rsid w:val="009E36A6"/>
    <w:rsid w:val="009E3AC1"/>
    <w:rsid w:val="009E4FCC"/>
    <w:rsid w:val="009E5DC2"/>
    <w:rsid w:val="009E6049"/>
    <w:rsid w:val="009E75C6"/>
    <w:rsid w:val="009E79A7"/>
    <w:rsid w:val="009E7BC4"/>
    <w:rsid w:val="009E7FB1"/>
    <w:rsid w:val="009F0015"/>
    <w:rsid w:val="009F0916"/>
    <w:rsid w:val="009F32E7"/>
    <w:rsid w:val="009F3EEE"/>
    <w:rsid w:val="009F405F"/>
    <w:rsid w:val="009F422A"/>
    <w:rsid w:val="009F47A8"/>
    <w:rsid w:val="009F6EA4"/>
    <w:rsid w:val="00A00EC5"/>
    <w:rsid w:val="00A00F5B"/>
    <w:rsid w:val="00A01B62"/>
    <w:rsid w:val="00A02189"/>
    <w:rsid w:val="00A0228C"/>
    <w:rsid w:val="00A02915"/>
    <w:rsid w:val="00A03730"/>
    <w:rsid w:val="00A03925"/>
    <w:rsid w:val="00A03CEA"/>
    <w:rsid w:val="00A04A0C"/>
    <w:rsid w:val="00A054F8"/>
    <w:rsid w:val="00A0594D"/>
    <w:rsid w:val="00A05CD4"/>
    <w:rsid w:val="00A0673D"/>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48E6"/>
    <w:rsid w:val="00A150CB"/>
    <w:rsid w:val="00A15197"/>
    <w:rsid w:val="00A157E1"/>
    <w:rsid w:val="00A16358"/>
    <w:rsid w:val="00A179C1"/>
    <w:rsid w:val="00A20B23"/>
    <w:rsid w:val="00A21602"/>
    <w:rsid w:val="00A21D52"/>
    <w:rsid w:val="00A2225B"/>
    <w:rsid w:val="00A22AE2"/>
    <w:rsid w:val="00A22F94"/>
    <w:rsid w:val="00A2340B"/>
    <w:rsid w:val="00A23DEA"/>
    <w:rsid w:val="00A25146"/>
    <w:rsid w:val="00A25C4D"/>
    <w:rsid w:val="00A27142"/>
    <w:rsid w:val="00A27B73"/>
    <w:rsid w:val="00A30ABF"/>
    <w:rsid w:val="00A31661"/>
    <w:rsid w:val="00A339BE"/>
    <w:rsid w:val="00A34076"/>
    <w:rsid w:val="00A346E3"/>
    <w:rsid w:val="00A36615"/>
    <w:rsid w:val="00A37565"/>
    <w:rsid w:val="00A378E7"/>
    <w:rsid w:val="00A3794A"/>
    <w:rsid w:val="00A41CCB"/>
    <w:rsid w:val="00A42B4A"/>
    <w:rsid w:val="00A431EB"/>
    <w:rsid w:val="00A4373C"/>
    <w:rsid w:val="00A440E9"/>
    <w:rsid w:val="00A447D1"/>
    <w:rsid w:val="00A464D4"/>
    <w:rsid w:val="00A4658A"/>
    <w:rsid w:val="00A478F2"/>
    <w:rsid w:val="00A50B28"/>
    <w:rsid w:val="00A52078"/>
    <w:rsid w:val="00A5302E"/>
    <w:rsid w:val="00A5481D"/>
    <w:rsid w:val="00A548D6"/>
    <w:rsid w:val="00A54E6F"/>
    <w:rsid w:val="00A54F7A"/>
    <w:rsid w:val="00A55B70"/>
    <w:rsid w:val="00A568E1"/>
    <w:rsid w:val="00A61674"/>
    <w:rsid w:val="00A638A2"/>
    <w:rsid w:val="00A639E8"/>
    <w:rsid w:val="00A63CD5"/>
    <w:rsid w:val="00A646F5"/>
    <w:rsid w:val="00A64E64"/>
    <w:rsid w:val="00A652E5"/>
    <w:rsid w:val="00A65670"/>
    <w:rsid w:val="00A65A8C"/>
    <w:rsid w:val="00A70D73"/>
    <w:rsid w:val="00A740EB"/>
    <w:rsid w:val="00A7504D"/>
    <w:rsid w:val="00A751A3"/>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907EE"/>
    <w:rsid w:val="00A907FD"/>
    <w:rsid w:val="00A90D53"/>
    <w:rsid w:val="00A9121E"/>
    <w:rsid w:val="00A92F71"/>
    <w:rsid w:val="00A93974"/>
    <w:rsid w:val="00A93B50"/>
    <w:rsid w:val="00A940D2"/>
    <w:rsid w:val="00A951F0"/>
    <w:rsid w:val="00A954C3"/>
    <w:rsid w:val="00A956FA"/>
    <w:rsid w:val="00A95A32"/>
    <w:rsid w:val="00A95BC8"/>
    <w:rsid w:val="00A9634A"/>
    <w:rsid w:val="00A96EB2"/>
    <w:rsid w:val="00A97247"/>
    <w:rsid w:val="00A9748D"/>
    <w:rsid w:val="00A97A75"/>
    <w:rsid w:val="00A97E54"/>
    <w:rsid w:val="00AA081A"/>
    <w:rsid w:val="00AA0AA3"/>
    <w:rsid w:val="00AA22C7"/>
    <w:rsid w:val="00AA2638"/>
    <w:rsid w:val="00AA2AF3"/>
    <w:rsid w:val="00AA3CDC"/>
    <w:rsid w:val="00AA58BF"/>
    <w:rsid w:val="00AA6FBF"/>
    <w:rsid w:val="00AA7DD8"/>
    <w:rsid w:val="00AB094A"/>
    <w:rsid w:val="00AB0FF4"/>
    <w:rsid w:val="00AB1595"/>
    <w:rsid w:val="00AB25AA"/>
    <w:rsid w:val="00AB412C"/>
    <w:rsid w:val="00AB66D3"/>
    <w:rsid w:val="00AB6E61"/>
    <w:rsid w:val="00AB7972"/>
    <w:rsid w:val="00AC3B52"/>
    <w:rsid w:val="00AC3C44"/>
    <w:rsid w:val="00AC3C76"/>
    <w:rsid w:val="00AC424A"/>
    <w:rsid w:val="00AC433A"/>
    <w:rsid w:val="00AC4F44"/>
    <w:rsid w:val="00AC7C39"/>
    <w:rsid w:val="00AC7CAD"/>
    <w:rsid w:val="00AD0B58"/>
    <w:rsid w:val="00AD0DFA"/>
    <w:rsid w:val="00AD1009"/>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E052E"/>
    <w:rsid w:val="00AE25C3"/>
    <w:rsid w:val="00AE3175"/>
    <w:rsid w:val="00AE361F"/>
    <w:rsid w:val="00AE3A30"/>
    <w:rsid w:val="00AE4658"/>
    <w:rsid w:val="00AE57A8"/>
    <w:rsid w:val="00AE5B43"/>
    <w:rsid w:val="00AE6070"/>
    <w:rsid w:val="00AE63F1"/>
    <w:rsid w:val="00AF1E88"/>
    <w:rsid w:val="00AF2578"/>
    <w:rsid w:val="00AF2748"/>
    <w:rsid w:val="00AF339A"/>
    <w:rsid w:val="00AF36B4"/>
    <w:rsid w:val="00AF37FD"/>
    <w:rsid w:val="00AF419E"/>
    <w:rsid w:val="00AF464A"/>
    <w:rsid w:val="00AF4D4C"/>
    <w:rsid w:val="00AF51D8"/>
    <w:rsid w:val="00AF5B2D"/>
    <w:rsid w:val="00AF768D"/>
    <w:rsid w:val="00B007EF"/>
    <w:rsid w:val="00B02312"/>
    <w:rsid w:val="00B031E4"/>
    <w:rsid w:val="00B03488"/>
    <w:rsid w:val="00B036E5"/>
    <w:rsid w:val="00B0411F"/>
    <w:rsid w:val="00B041A1"/>
    <w:rsid w:val="00B043EC"/>
    <w:rsid w:val="00B04636"/>
    <w:rsid w:val="00B04B89"/>
    <w:rsid w:val="00B04D33"/>
    <w:rsid w:val="00B05B6D"/>
    <w:rsid w:val="00B0630A"/>
    <w:rsid w:val="00B06711"/>
    <w:rsid w:val="00B07219"/>
    <w:rsid w:val="00B07374"/>
    <w:rsid w:val="00B1082B"/>
    <w:rsid w:val="00B10B09"/>
    <w:rsid w:val="00B118F3"/>
    <w:rsid w:val="00B11CBA"/>
    <w:rsid w:val="00B1227B"/>
    <w:rsid w:val="00B129FF"/>
    <w:rsid w:val="00B1357A"/>
    <w:rsid w:val="00B14043"/>
    <w:rsid w:val="00B14573"/>
    <w:rsid w:val="00B15C0B"/>
    <w:rsid w:val="00B15CBF"/>
    <w:rsid w:val="00B15CE5"/>
    <w:rsid w:val="00B16470"/>
    <w:rsid w:val="00B16E0D"/>
    <w:rsid w:val="00B2008E"/>
    <w:rsid w:val="00B205F7"/>
    <w:rsid w:val="00B21902"/>
    <w:rsid w:val="00B22729"/>
    <w:rsid w:val="00B230F9"/>
    <w:rsid w:val="00B23494"/>
    <w:rsid w:val="00B2386B"/>
    <w:rsid w:val="00B23CB0"/>
    <w:rsid w:val="00B23F1E"/>
    <w:rsid w:val="00B25579"/>
    <w:rsid w:val="00B26E2F"/>
    <w:rsid w:val="00B3055F"/>
    <w:rsid w:val="00B322E2"/>
    <w:rsid w:val="00B33017"/>
    <w:rsid w:val="00B34B85"/>
    <w:rsid w:val="00B365A9"/>
    <w:rsid w:val="00B36B2E"/>
    <w:rsid w:val="00B3751D"/>
    <w:rsid w:val="00B379D4"/>
    <w:rsid w:val="00B400BB"/>
    <w:rsid w:val="00B401DD"/>
    <w:rsid w:val="00B40270"/>
    <w:rsid w:val="00B40E77"/>
    <w:rsid w:val="00B42CA5"/>
    <w:rsid w:val="00B42DA1"/>
    <w:rsid w:val="00B433A7"/>
    <w:rsid w:val="00B43E3D"/>
    <w:rsid w:val="00B441D2"/>
    <w:rsid w:val="00B44EF1"/>
    <w:rsid w:val="00B45230"/>
    <w:rsid w:val="00B45CD3"/>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6029"/>
    <w:rsid w:val="00B76032"/>
    <w:rsid w:val="00B76114"/>
    <w:rsid w:val="00B768E4"/>
    <w:rsid w:val="00B77DE0"/>
    <w:rsid w:val="00B805FF"/>
    <w:rsid w:val="00B8077F"/>
    <w:rsid w:val="00B81463"/>
    <w:rsid w:val="00B81A00"/>
    <w:rsid w:val="00B82D20"/>
    <w:rsid w:val="00B8319B"/>
    <w:rsid w:val="00B8494E"/>
    <w:rsid w:val="00B84EC7"/>
    <w:rsid w:val="00B85018"/>
    <w:rsid w:val="00B8520A"/>
    <w:rsid w:val="00B856A1"/>
    <w:rsid w:val="00B85AB2"/>
    <w:rsid w:val="00B860AD"/>
    <w:rsid w:val="00B8760C"/>
    <w:rsid w:val="00B879C8"/>
    <w:rsid w:val="00B87F8F"/>
    <w:rsid w:val="00B90020"/>
    <w:rsid w:val="00B90127"/>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515"/>
    <w:rsid w:val="00BA3CC0"/>
    <w:rsid w:val="00BA6B0A"/>
    <w:rsid w:val="00BA6D0C"/>
    <w:rsid w:val="00BA78A6"/>
    <w:rsid w:val="00BB001E"/>
    <w:rsid w:val="00BB04D5"/>
    <w:rsid w:val="00BB1925"/>
    <w:rsid w:val="00BB197E"/>
    <w:rsid w:val="00BB1E66"/>
    <w:rsid w:val="00BB297C"/>
    <w:rsid w:val="00BB35BF"/>
    <w:rsid w:val="00BB3664"/>
    <w:rsid w:val="00BB4238"/>
    <w:rsid w:val="00BB5C02"/>
    <w:rsid w:val="00BB79B2"/>
    <w:rsid w:val="00BB7D3A"/>
    <w:rsid w:val="00BC1B6E"/>
    <w:rsid w:val="00BC2013"/>
    <w:rsid w:val="00BC23DD"/>
    <w:rsid w:val="00BC25E0"/>
    <w:rsid w:val="00BC302A"/>
    <w:rsid w:val="00BC38C7"/>
    <w:rsid w:val="00BC3E71"/>
    <w:rsid w:val="00BC3EBD"/>
    <w:rsid w:val="00BC49E3"/>
    <w:rsid w:val="00BC4F29"/>
    <w:rsid w:val="00BC690A"/>
    <w:rsid w:val="00BC7CA4"/>
    <w:rsid w:val="00BD10AE"/>
    <w:rsid w:val="00BD149A"/>
    <w:rsid w:val="00BD14FD"/>
    <w:rsid w:val="00BD2246"/>
    <w:rsid w:val="00BD2255"/>
    <w:rsid w:val="00BD2547"/>
    <w:rsid w:val="00BD37C4"/>
    <w:rsid w:val="00BD3A48"/>
    <w:rsid w:val="00BD3BB6"/>
    <w:rsid w:val="00BD3F6A"/>
    <w:rsid w:val="00BD4A89"/>
    <w:rsid w:val="00BD5949"/>
    <w:rsid w:val="00BD5BC7"/>
    <w:rsid w:val="00BD5E74"/>
    <w:rsid w:val="00BD66BD"/>
    <w:rsid w:val="00BD7C7A"/>
    <w:rsid w:val="00BE03B7"/>
    <w:rsid w:val="00BE0B1B"/>
    <w:rsid w:val="00BE20F1"/>
    <w:rsid w:val="00BE2443"/>
    <w:rsid w:val="00BE26D0"/>
    <w:rsid w:val="00BE33A1"/>
    <w:rsid w:val="00BE5B2F"/>
    <w:rsid w:val="00BE68BD"/>
    <w:rsid w:val="00BF074C"/>
    <w:rsid w:val="00BF0990"/>
    <w:rsid w:val="00BF0E2B"/>
    <w:rsid w:val="00BF1239"/>
    <w:rsid w:val="00BF1655"/>
    <w:rsid w:val="00BF1E63"/>
    <w:rsid w:val="00BF36D0"/>
    <w:rsid w:val="00BF5FD2"/>
    <w:rsid w:val="00BF66B3"/>
    <w:rsid w:val="00C00358"/>
    <w:rsid w:val="00C01A2C"/>
    <w:rsid w:val="00C05F6E"/>
    <w:rsid w:val="00C072A4"/>
    <w:rsid w:val="00C105BD"/>
    <w:rsid w:val="00C10F3B"/>
    <w:rsid w:val="00C1238A"/>
    <w:rsid w:val="00C1297D"/>
    <w:rsid w:val="00C12995"/>
    <w:rsid w:val="00C15336"/>
    <w:rsid w:val="00C155F2"/>
    <w:rsid w:val="00C1720D"/>
    <w:rsid w:val="00C20165"/>
    <w:rsid w:val="00C204D4"/>
    <w:rsid w:val="00C20EDA"/>
    <w:rsid w:val="00C21698"/>
    <w:rsid w:val="00C21986"/>
    <w:rsid w:val="00C22E55"/>
    <w:rsid w:val="00C237ED"/>
    <w:rsid w:val="00C24292"/>
    <w:rsid w:val="00C24848"/>
    <w:rsid w:val="00C25A06"/>
    <w:rsid w:val="00C260FE"/>
    <w:rsid w:val="00C26296"/>
    <w:rsid w:val="00C27E6F"/>
    <w:rsid w:val="00C30E07"/>
    <w:rsid w:val="00C3195A"/>
    <w:rsid w:val="00C31E24"/>
    <w:rsid w:val="00C32EC4"/>
    <w:rsid w:val="00C33C18"/>
    <w:rsid w:val="00C35699"/>
    <w:rsid w:val="00C35B47"/>
    <w:rsid w:val="00C360D5"/>
    <w:rsid w:val="00C36A47"/>
    <w:rsid w:val="00C37E15"/>
    <w:rsid w:val="00C40169"/>
    <w:rsid w:val="00C40E49"/>
    <w:rsid w:val="00C41108"/>
    <w:rsid w:val="00C41C88"/>
    <w:rsid w:val="00C427C6"/>
    <w:rsid w:val="00C43529"/>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431C"/>
    <w:rsid w:val="00C76476"/>
    <w:rsid w:val="00C77DEA"/>
    <w:rsid w:val="00C80040"/>
    <w:rsid w:val="00C8024C"/>
    <w:rsid w:val="00C818D5"/>
    <w:rsid w:val="00C82AB2"/>
    <w:rsid w:val="00C83112"/>
    <w:rsid w:val="00C86461"/>
    <w:rsid w:val="00C86C58"/>
    <w:rsid w:val="00C87732"/>
    <w:rsid w:val="00C909A0"/>
    <w:rsid w:val="00C9174D"/>
    <w:rsid w:val="00C91A40"/>
    <w:rsid w:val="00C91A67"/>
    <w:rsid w:val="00C91C20"/>
    <w:rsid w:val="00C92EFA"/>
    <w:rsid w:val="00C930B8"/>
    <w:rsid w:val="00C93953"/>
    <w:rsid w:val="00C94006"/>
    <w:rsid w:val="00C94A16"/>
    <w:rsid w:val="00C9608B"/>
    <w:rsid w:val="00C965E3"/>
    <w:rsid w:val="00CA0FC4"/>
    <w:rsid w:val="00CA2229"/>
    <w:rsid w:val="00CA242B"/>
    <w:rsid w:val="00CA286E"/>
    <w:rsid w:val="00CA45B2"/>
    <w:rsid w:val="00CA5AC7"/>
    <w:rsid w:val="00CA5F5F"/>
    <w:rsid w:val="00CA6219"/>
    <w:rsid w:val="00CA6730"/>
    <w:rsid w:val="00CA68E4"/>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690D"/>
    <w:rsid w:val="00D06BD3"/>
    <w:rsid w:val="00D07B16"/>
    <w:rsid w:val="00D1002E"/>
    <w:rsid w:val="00D12074"/>
    <w:rsid w:val="00D1293E"/>
    <w:rsid w:val="00D12AAF"/>
    <w:rsid w:val="00D14033"/>
    <w:rsid w:val="00D14196"/>
    <w:rsid w:val="00D14A52"/>
    <w:rsid w:val="00D1559D"/>
    <w:rsid w:val="00D15FFB"/>
    <w:rsid w:val="00D16662"/>
    <w:rsid w:val="00D16BC9"/>
    <w:rsid w:val="00D17A05"/>
    <w:rsid w:val="00D2033F"/>
    <w:rsid w:val="00D20641"/>
    <w:rsid w:val="00D207A4"/>
    <w:rsid w:val="00D20849"/>
    <w:rsid w:val="00D21981"/>
    <w:rsid w:val="00D2217B"/>
    <w:rsid w:val="00D227EF"/>
    <w:rsid w:val="00D23F1B"/>
    <w:rsid w:val="00D2457C"/>
    <w:rsid w:val="00D24C47"/>
    <w:rsid w:val="00D25CB7"/>
    <w:rsid w:val="00D25D3D"/>
    <w:rsid w:val="00D25F6F"/>
    <w:rsid w:val="00D26BB9"/>
    <w:rsid w:val="00D27171"/>
    <w:rsid w:val="00D27242"/>
    <w:rsid w:val="00D2758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74"/>
    <w:rsid w:val="00D63B8A"/>
    <w:rsid w:val="00D648BC"/>
    <w:rsid w:val="00D66B84"/>
    <w:rsid w:val="00D702EC"/>
    <w:rsid w:val="00D70680"/>
    <w:rsid w:val="00D70894"/>
    <w:rsid w:val="00D70B00"/>
    <w:rsid w:val="00D710FA"/>
    <w:rsid w:val="00D719F1"/>
    <w:rsid w:val="00D71DA3"/>
    <w:rsid w:val="00D71F43"/>
    <w:rsid w:val="00D7341A"/>
    <w:rsid w:val="00D7392E"/>
    <w:rsid w:val="00D74EA8"/>
    <w:rsid w:val="00D751F4"/>
    <w:rsid w:val="00D757AE"/>
    <w:rsid w:val="00D75B08"/>
    <w:rsid w:val="00D75D8A"/>
    <w:rsid w:val="00D75F72"/>
    <w:rsid w:val="00D8012F"/>
    <w:rsid w:val="00D807C0"/>
    <w:rsid w:val="00D80E85"/>
    <w:rsid w:val="00D80EFD"/>
    <w:rsid w:val="00D82AC5"/>
    <w:rsid w:val="00D835E3"/>
    <w:rsid w:val="00D8363B"/>
    <w:rsid w:val="00D838E1"/>
    <w:rsid w:val="00D84AD5"/>
    <w:rsid w:val="00D8560D"/>
    <w:rsid w:val="00D858F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714E"/>
    <w:rsid w:val="00D9725C"/>
    <w:rsid w:val="00D972F6"/>
    <w:rsid w:val="00D9770B"/>
    <w:rsid w:val="00DA00D3"/>
    <w:rsid w:val="00DA021D"/>
    <w:rsid w:val="00DA10A1"/>
    <w:rsid w:val="00DA1714"/>
    <w:rsid w:val="00DA21DE"/>
    <w:rsid w:val="00DA26E0"/>
    <w:rsid w:val="00DA2C46"/>
    <w:rsid w:val="00DA36D1"/>
    <w:rsid w:val="00DA3BB0"/>
    <w:rsid w:val="00DA4ADD"/>
    <w:rsid w:val="00DA4FCE"/>
    <w:rsid w:val="00DA54C0"/>
    <w:rsid w:val="00DA6E89"/>
    <w:rsid w:val="00DA7188"/>
    <w:rsid w:val="00DB036B"/>
    <w:rsid w:val="00DB1466"/>
    <w:rsid w:val="00DB3222"/>
    <w:rsid w:val="00DB3494"/>
    <w:rsid w:val="00DB38BD"/>
    <w:rsid w:val="00DB426D"/>
    <w:rsid w:val="00DB4EDF"/>
    <w:rsid w:val="00DB69A3"/>
    <w:rsid w:val="00DB6E4C"/>
    <w:rsid w:val="00DC1FF2"/>
    <w:rsid w:val="00DC39FB"/>
    <w:rsid w:val="00DC498B"/>
    <w:rsid w:val="00DC5449"/>
    <w:rsid w:val="00DC57E0"/>
    <w:rsid w:val="00DC6084"/>
    <w:rsid w:val="00DC6247"/>
    <w:rsid w:val="00DD0300"/>
    <w:rsid w:val="00DD037A"/>
    <w:rsid w:val="00DD0822"/>
    <w:rsid w:val="00DD0B45"/>
    <w:rsid w:val="00DD0DBB"/>
    <w:rsid w:val="00DD1074"/>
    <w:rsid w:val="00DD14EC"/>
    <w:rsid w:val="00DD165E"/>
    <w:rsid w:val="00DD22E5"/>
    <w:rsid w:val="00DD2978"/>
    <w:rsid w:val="00DD2F09"/>
    <w:rsid w:val="00DD63CE"/>
    <w:rsid w:val="00DD69E6"/>
    <w:rsid w:val="00DD6A78"/>
    <w:rsid w:val="00DE003B"/>
    <w:rsid w:val="00DE110B"/>
    <w:rsid w:val="00DE1A14"/>
    <w:rsid w:val="00DE2462"/>
    <w:rsid w:val="00DE27B3"/>
    <w:rsid w:val="00DE3B10"/>
    <w:rsid w:val="00DE3DF0"/>
    <w:rsid w:val="00DE46AE"/>
    <w:rsid w:val="00DE4C4D"/>
    <w:rsid w:val="00DE6288"/>
    <w:rsid w:val="00DE629F"/>
    <w:rsid w:val="00DE74C0"/>
    <w:rsid w:val="00DE7B89"/>
    <w:rsid w:val="00DE7DC2"/>
    <w:rsid w:val="00DE7E36"/>
    <w:rsid w:val="00DF027F"/>
    <w:rsid w:val="00DF04A8"/>
    <w:rsid w:val="00DF06A0"/>
    <w:rsid w:val="00DF1A58"/>
    <w:rsid w:val="00DF1E4E"/>
    <w:rsid w:val="00DF1EBC"/>
    <w:rsid w:val="00DF338A"/>
    <w:rsid w:val="00DF34F4"/>
    <w:rsid w:val="00DF3A50"/>
    <w:rsid w:val="00DF3B85"/>
    <w:rsid w:val="00DF3C8E"/>
    <w:rsid w:val="00DF502E"/>
    <w:rsid w:val="00DF5176"/>
    <w:rsid w:val="00DF527A"/>
    <w:rsid w:val="00DF570A"/>
    <w:rsid w:val="00E0018B"/>
    <w:rsid w:val="00E0063E"/>
    <w:rsid w:val="00E00EB0"/>
    <w:rsid w:val="00E021BB"/>
    <w:rsid w:val="00E0312E"/>
    <w:rsid w:val="00E032B6"/>
    <w:rsid w:val="00E03870"/>
    <w:rsid w:val="00E05AE5"/>
    <w:rsid w:val="00E062F3"/>
    <w:rsid w:val="00E07D3D"/>
    <w:rsid w:val="00E10159"/>
    <w:rsid w:val="00E10C2F"/>
    <w:rsid w:val="00E1152F"/>
    <w:rsid w:val="00E11661"/>
    <w:rsid w:val="00E11B3B"/>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D1F"/>
    <w:rsid w:val="00E43317"/>
    <w:rsid w:val="00E43BA6"/>
    <w:rsid w:val="00E44956"/>
    <w:rsid w:val="00E44BC3"/>
    <w:rsid w:val="00E44E28"/>
    <w:rsid w:val="00E452CC"/>
    <w:rsid w:val="00E4560B"/>
    <w:rsid w:val="00E462E2"/>
    <w:rsid w:val="00E465ED"/>
    <w:rsid w:val="00E51243"/>
    <w:rsid w:val="00E536D8"/>
    <w:rsid w:val="00E54BF1"/>
    <w:rsid w:val="00E55102"/>
    <w:rsid w:val="00E56B1B"/>
    <w:rsid w:val="00E56E21"/>
    <w:rsid w:val="00E570BD"/>
    <w:rsid w:val="00E602FF"/>
    <w:rsid w:val="00E61119"/>
    <w:rsid w:val="00E61B99"/>
    <w:rsid w:val="00E61C6B"/>
    <w:rsid w:val="00E61EFE"/>
    <w:rsid w:val="00E61F45"/>
    <w:rsid w:val="00E62810"/>
    <w:rsid w:val="00E62867"/>
    <w:rsid w:val="00E63211"/>
    <w:rsid w:val="00E63973"/>
    <w:rsid w:val="00E639C5"/>
    <w:rsid w:val="00E63C6B"/>
    <w:rsid w:val="00E63CAA"/>
    <w:rsid w:val="00E7001D"/>
    <w:rsid w:val="00E70129"/>
    <w:rsid w:val="00E710CE"/>
    <w:rsid w:val="00E7198E"/>
    <w:rsid w:val="00E71D52"/>
    <w:rsid w:val="00E72504"/>
    <w:rsid w:val="00E72E79"/>
    <w:rsid w:val="00E77990"/>
    <w:rsid w:val="00E80AEC"/>
    <w:rsid w:val="00E81B41"/>
    <w:rsid w:val="00E8272F"/>
    <w:rsid w:val="00E83B4C"/>
    <w:rsid w:val="00E8526F"/>
    <w:rsid w:val="00E855FE"/>
    <w:rsid w:val="00E87334"/>
    <w:rsid w:val="00E9012B"/>
    <w:rsid w:val="00E90242"/>
    <w:rsid w:val="00E90C72"/>
    <w:rsid w:val="00E90C9C"/>
    <w:rsid w:val="00E92039"/>
    <w:rsid w:val="00E920BD"/>
    <w:rsid w:val="00E934C5"/>
    <w:rsid w:val="00E935BB"/>
    <w:rsid w:val="00E94D52"/>
    <w:rsid w:val="00E96225"/>
    <w:rsid w:val="00EA0059"/>
    <w:rsid w:val="00EA114D"/>
    <w:rsid w:val="00EA13B5"/>
    <w:rsid w:val="00EA21C4"/>
    <w:rsid w:val="00EA36CB"/>
    <w:rsid w:val="00EA425B"/>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507"/>
    <w:rsid w:val="00EC6959"/>
    <w:rsid w:val="00EC72D3"/>
    <w:rsid w:val="00ED1E02"/>
    <w:rsid w:val="00ED1E97"/>
    <w:rsid w:val="00ED2840"/>
    <w:rsid w:val="00ED394A"/>
    <w:rsid w:val="00ED3D72"/>
    <w:rsid w:val="00ED3F3A"/>
    <w:rsid w:val="00ED3FDA"/>
    <w:rsid w:val="00ED4FCB"/>
    <w:rsid w:val="00ED6941"/>
    <w:rsid w:val="00ED6CA5"/>
    <w:rsid w:val="00ED77C1"/>
    <w:rsid w:val="00EE14BA"/>
    <w:rsid w:val="00EE188F"/>
    <w:rsid w:val="00EE1BC6"/>
    <w:rsid w:val="00EE1E1B"/>
    <w:rsid w:val="00EE301D"/>
    <w:rsid w:val="00EE3DC3"/>
    <w:rsid w:val="00EE3F14"/>
    <w:rsid w:val="00EE4ACA"/>
    <w:rsid w:val="00EE582B"/>
    <w:rsid w:val="00EE5961"/>
    <w:rsid w:val="00EE63A5"/>
    <w:rsid w:val="00EE6AFE"/>
    <w:rsid w:val="00EE6CC0"/>
    <w:rsid w:val="00EE784A"/>
    <w:rsid w:val="00EE79E2"/>
    <w:rsid w:val="00EF00DB"/>
    <w:rsid w:val="00EF0ADB"/>
    <w:rsid w:val="00EF1FCC"/>
    <w:rsid w:val="00EF2999"/>
    <w:rsid w:val="00EF43E4"/>
    <w:rsid w:val="00EF45C7"/>
    <w:rsid w:val="00EF48C4"/>
    <w:rsid w:val="00EF4ECC"/>
    <w:rsid w:val="00EF5378"/>
    <w:rsid w:val="00EF5A03"/>
    <w:rsid w:val="00EF7E1B"/>
    <w:rsid w:val="00F00381"/>
    <w:rsid w:val="00F012E5"/>
    <w:rsid w:val="00F01643"/>
    <w:rsid w:val="00F01647"/>
    <w:rsid w:val="00F01D80"/>
    <w:rsid w:val="00F02312"/>
    <w:rsid w:val="00F044AC"/>
    <w:rsid w:val="00F0515C"/>
    <w:rsid w:val="00F06582"/>
    <w:rsid w:val="00F07BAE"/>
    <w:rsid w:val="00F07C9C"/>
    <w:rsid w:val="00F11356"/>
    <w:rsid w:val="00F1226E"/>
    <w:rsid w:val="00F1228A"/>
    <w:rsid w:val="00F123E3"/>
    <w:rsid w:val="00F1286E"/>
    <w:rsid w:val="00F13291"/>
    <w:rsid w:val="00F13396"/>
    <w:rsid w:val="00F134F9"/>
    <w:rsid w:val="00F14D7E"/>
    <w:rsid w:val="00F157A7"/>
    <w:rsid w:val="00F1598B"/>
    <w:rsid w:val="00F159C4"/>
    <w:rsid w:val="00F17CD7"/>
    <w:rsid w:val="00F2050B"/>
    <w:rsid w:val="00F22466"/>
    <w:rsid w:val="00F2422C"/>
    <w:rsid w:val="00F254E7"/>
    <w:rsid w:val="00F256A9"/>
    <w:rsid w:val="00F26258"/>
    <w:rsid w:val="00F26F9E"/>
    <w:rsid w:val="00F27B0A"/>
    <w:rsid w:val="00F27B9A"/>
    <w:rsid w:val="00F302D4"/>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31C6"/>
    <w:rsid w:val="00F44F0C"/>
    <w:rsid w:val="00F454F4"/>
    <w:rsid w:val="00F45DD4"/>
    <w:rsid w:val="00F467E4"/>
    <w:rsid w:val="00F468A2"/>
    <w:rsid w:val="00F473E7"/>
    <w:rsid w:val="00F478D6"/>
    <w:rsid w:val="00F5100E"/>
    <w:rsid w:val="00F51AE7"/>
    <w:rsid w:val="00F51BBC"/>
    <w:rsid w:val="00F524C3"/>
    <w:rsid w:val="00F5256E"/>
    <w:rsid w:val="00F543C4"/>
    <w:rsid w:val="00F55BE8"/>
    <w:rsid w:val="00F55DBD"/>
    <w:rsid w:val="00F567D7"/>
    <w:rsid w:val="00F57544"/>
    <w:rsid w:val="00F57B83"/>
    <w:rsid w:val="00F6081D"/>
    <w:rsid w:val="00F6097D"/>
    <w:rsid w:val="00F60F4A"/>
    <w:rsid w:val="00F61966"/>
    <w:rsid w:val="00F620E3"/>
    <w:rsid w:val="00F63270"/>
    <w:rsid w:val="00F633C9"/>
    <w:rsid w:val="00F640C8"/>
    <w:rsid w:val="00F6730E"/>
    <w:rsid w:val="00F67C10"/>
    <w:rsid w:val="00F67F09"/>
    <w:rsid w:val="00F70A88"/>
    <w:rsid w:val="00F71121"/>
    <w:rsid w:val="00F71954"/>
    <w:rsid w:val="00F72283"/>
    <w:rsid w:val="00F72C01"/>
    <w:rsid w:val="00F733D1"/>
    <w:rsid w:val="00F73BCF"/>
    <w:rsid w:val="00F73D27"/>
    <w:rsid w:val="00F748C9"/>
    <w:rsid w:val="00F74B92"/>
    <w:rsid w:val="00F74CDC"/>
    <w:rsid w:val="00F75918"/>
    <w:rsid w:val="00F75B5D"/>
    <w:rsid w:val="00F75C0C"/>
    <w:rsid w:val="00F760F7"/>
    <w:rsid w:val="00F765EC"/>
    <w:rsid w:val="00F76B87"/>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EEA"/>
    <w:rsid w:val="00FB50AC"/>
    <w:rsid w:val="00FB5295"/>
    <w:rsid w:val="00FB555F"/>
    <w:rsid w:val="00FB55D7"/>
    <w:rsid w:val="00FB56AF"/>
    <w:rsid w:val="00FB5D13"/>
    <w:rsid w:val="00FB72A1"/>
    <w:rsid w:val="00FB756E"/>
    <w:rsid w:val="00FC2116"/>
    <w:rsid w:val="00FC2AE1"/>
    <w:rsid w:val="00FC2EE3"/>
    <w:rsid w:val="00FC30F9"/>
    <w:rsid w:val="00FC3662"/>
    <w:rsid w:val="00FC3EB3"/>
    <w:rsid w:val="00FC3FC6"/>
    <w:rsid w:val="00FC418C"/>
    <w:rsid w:val="00FC5DA1"/>
    <w:rsid w:val="00FC65CF"/>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1F4A"/>
    <w:rsid w:val="00FE2675"/>
    <w:rsid w:val="00FE431B"/>
    <w:rsid w:val="00FE4C55"/>
    <w:rsid w:val="00FE63AE"/>
    <w:rsid w:val="00FE64A7"/>
    <w:rsid w:val="00FE7111"/>
    <w:rsid w:val="00FE7508"/>
    <w:rsid w:val="00FF0026"/>
    <w:rsid w:val="00FF062E"/>
    <w:rsid w:val="00FF2A67"/>
    <w:rsid w:val="00FF2B33"/>
    <w:rsid w:val="00FF3475"/>
    <w:rsid w:val="00FF3506"/>
    <w:rsid w:val="00FF39BD"/>
    <w:rsid w:val="00FF3E11"/>
    <w:rsid w:val="00FF3F12"/>
    <w:rsid w:val="00FF485E"/>
    <w:rsid w:val="00FF529B"/>
    <w:rsid w:val="00FF541E"/>
    <w:rsid w:val="00FF641B"/>
    <w:rsid w:val="00FF7D71"/>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3A013"/>
  <w15:docId w15:val="{22B18A26-0963-49FD-98FD-1D726237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paragraph" w:styleId="Heading3">
    <w:name w:val="heading 3"/>
    <w:basedOn w:val="Normal"/>
    <w:next w:val="Normal"/>
    <w:link w:val="Heading3Char"/>
    <w:uiPriority w:val="9"/>
    <w:unhideWhenUsed/>
    <w:qFormat/>
    <w:rsid w:val="00292CB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34"/>
    <w:qFormat/>
    <w:rsid w:val="007438D6"/>
    <w:pPr>
      <w:ind w:left="720"/>
      <w:contextualSpacing/>
    </w:pPr>
    <w:rPr>
      <w:sz w:val="20"/>
      <w:szCs w:val="20"/>
    </w:rPr>
  </w:style>
  <w:style w:type="table" w:styleId="TableGrid">
    <w:name w:val="Table Grid"/>
    <w:basedOn w:val="TableNormal"/>
    <w:uiPriority w:val="5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 w:type="paragraph" w:customStyle="1" w:styleId="TableParagraph">
    <w:name w:val="Table Paragraph"/>
    <w:basedOn w:val="Normal"/>
    <w:uiPriority w:val="1"/>
    <w:qFormat/>
    <w:rsid w:val="00296E3E"/>
    <w:pPr>
      <w:widowControl w:val="0"/>
      <w:autoSpaceDE w:val="0"/>
      <w:autoSpaceDN w:val="0"/>
      <w:spacing w:after="0" w:line="240" w:lineRule="auto"/>
      <w:ind w:left="107"/>
    </w:pPr>
    <w:rPr>
      <w:rFonts w:ascii="Cambria" w:eastAsia="Cambria" w:hAnsi="Cambria" w:cs="Cambria"/>
    </w:rPr>
  </w:style>
  <w:style w:type="character" w:customStyle="1" w:styleId="Heading3Char">
    <w:name w:val="Heading 3 Char"/>
    <w:basedOn w:val="DefaultParagraphFont"/>
    <w:link w:val="Heading3"/>
    <w:uiPriority w:val="9"/>
    <w:rsid w:val="00292CB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87E8A-6FB0-4B15-BBF0-5D66ED52A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755</Words>
  <Characters>4308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30</cp:revision>
  <cp:lastPrinted>2026-01-19T10:35:00Z</cp:lastPrinted>
  <dcterms:created xsi:type="dcterms:W3CDTF">2026-01-19T09:37:00Z</dcterms:created>
  <dcterms:modified xsi:type="dcterms:W3CDTF">2026-01-20T09:22:00Z</dcterms:modified>
</cp:coreProperties>
</file>